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diagnose → prioritize → verify → deliver) without step-by-step guidance. The agent may pause only (1) when a required file is missing or an ambiguity has no documented safe default, or (2)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t xml:space="preserve">The slides do not state the scoring weight of each criterion, the submission deadline, the slide count or format, the pitch or demo duration, the submission format, whether a live demo is required, or whether external libraries, runtimes or web research are allowed. Keep these in </w:t>
      </w:r>
      <w:r>
        <w:rPr>
          <w:rStyle w:val="VerbatimChar"/>
        </w:rPr>
        <w:t xml:space="preserve">ASSUMPTIONS_AND_RISKS.md</w:t>
      </w:r>
      <w:r>
        <w:t xml:space="preserve"> and ask the organisers. Do not invent the answers.</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Bounded agent collaboration (for example, an independent verifier role) and parallel validation of the four input files, once the single workflow passes its golden tests and WorkBuddy support is confirmed (see Section G.4).</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