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and Internal Reporting &amp; Housekeeping.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every product's raw materials and packaging (</w:t>
      </w:r>
      <w:r>
        <w:rPr>
          <w:rStyle w:val="VerbatimChar"/>
        </w:rPr>
        <w:t xml:space="preserve">materials.csv</w:t>
      </w:r>
      <w:r>
        <w:t xml:space="preserve">), it searches the web for wholesalers and suppliers, records the options in </w:t>
      </w:r>
      <w:r>
        <w:rPr>
          <w:rStyle w:val="VerbatimChar"/>
        </w:rPr>
        <w:t xml:space="preserve">supplier_research.csv</w:t>
      </w:r>
      <w:r>
        <w:t xml:space="preserve"> (Section 4.7), and drafts unsent inquiry messages.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confidence</w:t>
      </w:r>
      <w:r>
        <w:t xml:space="preserve">,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Prefer suppliers that serve the business's location (Malaysia for the default dataset). Show 2–3 options per key material when the web provides them; if fewer are found, say so.</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and local-vs-remote MCP support; the synthetic dataset, including </w:t>
      </w:r>
      <w:r>
        <w:rPr>
          <w:rStyle w:val="VerbatimChar"/>
        </w:rPr>
        <w:t xml:space="preserve">materials.csv</w:t>
      </w:r>
      <w:r>
        <w:t xml:space="preserve">; hand-checked expected results.</w:t>
      </w:r>
    </w:p>
    <w:p>
      <w:pPr>
        <w:pStyle w:val="Compact"/>
        <w:numPr>
          <w:ilvl w:val="0"/>
          <w:numId w:val="1003"/>
        </w:numPr>
      </w:pPr>
      <w:r>
        <w:rPr>
          <w:b/>
          <w:bCs/>
        </w:rPr>
        <w:t xml:space="preserve">Sprint 2 — Agent, departments and tools (Tasks 3–4), 13:30–19:00:</w:t>
      </w:r>
      <w:r>
        <w:t xml:space="preserve"> the calculation engine; the Operations (including full raw-material and supplier research), Reporting, Strategy market-check, Marketing-handoff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19:00–23:00:</w:t>
      </w:r>
      <w:r>
        <w:t xml:space="preserve"> the demo site showing real outputs from the latest run, including the start-of-run mode choice, the supplier comparison and the market-check brief; one-click accept/reject; demo reset; an end-to-end run from a clean state.</w:t>
      </w:r>
    </w:p>
    <w:p>
      <w:pPr>
        <w:pStyle w:val="Compact"/>
        <w:numPr>
          <w:ilvl w:val="0"/>
          <w:numId w:val="1003"/>
        </w:numPr>
      </w:pPr>
      <w:r>
        <w:rPr>
          <w:b/>
          <w:bCs/>
        </w:rPr>
        <w:t xml:space="preserve">Sprint 4 — Test, fix and polish (Tasks 7–8), 23:00–02:00:</w:t>
      </w:r>
      <w:r>
        <w:t xml:space="preserve"> golden tests, invalid-data tests, source and date checks on supplier and market research, the network-failure fallback, an ease-of-use check, and fixes.</w:t>
      </w:r>
    </w:p>
    <w:p>
      <w:pPr>
        <w:pStyle w:val="Compact"/>
        <w:numPr>
          <w:ilvl w:val="0"/>
          <w:numId w:val="1003"/>
        </w:numPr>
      </w:pPr>
      <w:r>
        <w:rPr>
          <w:b/>
          <w:bCs/>
        </w:rPr>
        <w:t xml:space="preserve">Sprint 5 — Slides, docs and rehearsal (Tasks 9–11), 02:00–03:30, rest 03:30–07:30, then 07:30–09:00:</w:t>
      </w:r>
      <w:r>
        <w:t xml:space="preserve"> the short deck (Section 11), README and demo script, two full live-demo rehearsals, backup screenshots, and submission by 09:00.</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19:00),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raw-material and supplier research), Reporting, Strategy (market check) and Marketing departments → Verifier → results for owner approval, plus the tools used (built-in tools, web research, MCP).</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