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8"/>
        </w:rPr>
        <w:t>AI Email Handler System Overview</w:t>
      </w:r>
    </w:p>
    <w:p>
      <w:pPr>
        <w:jc w:val="center"/>
      </w:pPr>
      <w:r>
        <w:rPr>
          <w:rFonts w:ascii="Aptos Display" w:hAnsi="Aptos Display"/>
          <w:b/>
          <w:color w:val="2F5496"/>
          <w:sz w:val="36"/>
        </w:rPr>
        <w:t>Expanded Critical Recommendations</w:t>
      </w:r>
    </w:p>
    <w:p>
      <w:pPr>
        <w:jc w:val="center"/>
      </w:pPr>
      <w:r>
        <w:rPr>
          <w:color w:val="5A5A5A"/>
          <w:sz w:val="20"/>
        </w:rPr>
        <w:t>Generated from the uploaded source bundle on 2026-05-11</w:t>
      </w:r>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EAF2F8"/>
          </w:tcPr>
          <w:p>
            <w:r/>
            <w:r>
              <w:rPr>
                <w:rFonts w:ascii="Aptos" w:hAnsi="Aptos"/>
                <w:b/>
                <w:sz w:val="21"/>
              </w:rPr>
              <w:t>Purpose of this expanded edition</w:t>
            </w:r>
          </w:p>
          <w:p>
            <w:r>
              <w:rPr>
                <w:rFonts w:ascii="Aptos" w:hAnsi="Aptos"/>
                <w:sz w:val="18"/>
              </w:rPr>
              <w:t>This version is intentionally critical. It keeps the plain-English system overview, but expands the recommendation section into a broad product, engineering, safety, operations, data, AI, and workflow critique. The goal is not to dunk on the code. The goal is to surface every meaningful gap before the system becomes operational and expensive mistakes become harder to unwind.</w:t>
            </w:r>
          </w:p>
        </w:tc>
      </w:tr>
    </w:tbl>
    <w:p/>
    <w:p>
      <w:pPr>
        <w:pStyle w:val="Heading2"/>
      </w:pPr>
      <w:r>
        <w:rPr>
          <w:rFonts w:ascii="Aptos Display" w:hAnsi="Aptos Display"/>
          <w:color w:val="2F5496"/>
          <w:sz w:val="28"/>
        </w:rPr>
        <w:t>Criticality Key</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1728"/>
            <w:vAlign w:val="top"/>
            <w:shd w:fill="1F4E79"/>
          </w:tcPr>
          <w:p>
            <w:r/>
            <w:r>
              <w:rPr>
                <w:b/>
                <w:color w:val="FFFFFF"/>
                <w:sz w:val="18"/>
              </w:rPr>
              <w:t>Level</w:t>
            </w:r>
          </w:p>
        </w:tc>
        <w:tc>
          <w:tcPr>
            <w:tcW w:type="dxa" w:w="8352"/>
            <w:vAlign w:val="top"/>
            <w:shd w:fill="1F4E79"/>
          </w:tcPr>
          <w:p>
            <w:r/>
            <w:r>
              <w:rPr>
                <w:b/>
                <w:color w:val="FFFFFF"/>
                <w:sz w:val="18"/>
              </w:rPr>
              <w:t>Meaning</w:t>
            </w:r>
          </w:p>
        </w:tc>
      </w:tr>
      <w:tr>
        <w:tc>
          <w:tcPr>
            <w:tcW w:type="dxa" w:w="1728"/>
            <w:vAlign w:val="top"/>
          </w:tcPr>
          <w:p>
            <w:r/>
            <w:r>
              <w:rPr>
                <w:b w:val="0"/>
                <w:sz w:val="18"/>
              </w:rPr>
              <w:t>Blocker</w:t>
            </w:r>
          </w:p>
        </w:tc>
        <w:tc>
          <w:tcPr>
            <w:tcW w:type="dxa" w:w="8352"/>
            <w:vAlign w:val="top"/>
          </w:tcPr>
          <w:p>
            <w:r/>
            <w:r>
              <w:rPr>
                <w:b w:val="0"/>
                <w:sz w:val="18"/>
              </w:rPr>
              <w:t>Must fix before live operation or broad internal use.</w:t>
            </w:r>
          </w:p>
        </w:tc>
      </w:tr>
      <w:tr>
        <w:tc>
          <w:tcPr>
            <w:tcW w:type="dxa" w:w="1728"/>
            <w:vAlign w:val="top"/>
          </w:tcPr>
          <w:p>
            <w:r/>
            <w:r>
              <w:rPr>
                <w:b w:val="0"/>
                <w:sz w:val="18"/>
              </w:rPr>
              <w:t>High</w:t>
            </w:r>
          </w:p>
        </w:tc>
        <w:tc>
          <w:tcPr>
            <w:tcW w:type="dxa" w:w="8352"/>
            <w:vAlign w:val="top"/>
          </w:tcPr>
          <w:p>
            <w:r/>
            <w:r>
              <w:rPr>
                <w:b w:val="0"/>
                <w:sz w:val="18"/>
              </w:rPr>
              <w:t>Will cause operational drag, incorrect routing, runaway review volume, or trust loss if not handled soon.</w:t>
            </w:r>
          </w:p>
        </w:tc>
      </w:tr>
      <w:tr>
        <w:tc>
          <w:tcPr>
            <w:tcW w:type="dxa" w:w="1728"/>
            <w:vAlign w:val="top"/>
          </w:tcPr>
          <w:p>
            <w:r/>
            <w:r>
              <w:rPr>
                <w:b w:val="0"/>
                <w:sz w:val="18"/>
              </w:rPr>
              <w:t>Medium</w:t>
            </w:r>
          </w:p>
        </w:tc>
        <w:tc>
          <w:tcPr>
            <w:tcW w:type="dxa" w:w="8352"/>
            <w:vAlign w:val="top"/>
          </w:tcPr>
          <w:p>
            <w:r/>
            <w:r>
              <w:rPr>
                <w:b w:val="0"/>
                <w:sz w:val="18"/>
              </w:rPr>
              <w:t>Important hardening or maintainability work that becomes painful as volume grows.</w:t>
            </w:r>
          </w:p>
        </w:tc>
      </w:tr>
      <w:tr>
        <w:tc>
          <w:tcPr>
            <w:tcW w:type="dxa" w:w="1728"/>
            <w:vAlign w:val="top"/>
          </w:tcPr>
          <w:p>
            <w:r/>
            <w:r>
              <w:rPr>
                <w:b w:val="0"/>
                <w:sz w:val="18"/>
              </w:rPr>
              <w:t>Low</w:t>
            </w:r>
          </w:p>
        </w:tc>
        <w:tc>
          <w:tcPr>
            <w:tcW w:type="dxa" w:w="8352"/>
            <w:vAlign w:val="top"/>
          </w:tcPr>
          <w:p>
            <w:r/>
            <w:r>
              <w:rPr>
                <w:b w:val="0"/>
                <w:sz w:val="18"/>
              </w:rPr>
              <w:t>Useful polish, refactoring, or future-facing improvement that should still be tracked.</w:t>
            </w:r>
          </w:p>
        </w:tc>
      </w:tr>
    </w:tbl>
    <w:p/>
    <w:p>
      <w:r>
        <w:br w:type="page"/>
      </w:r>
    </w:p>
    <w:p>
      <w:pPr>
        <w:pStyle w:val="Heading1"/>
      </w:pPr>
      <w:r>
        <w:rPr>
          <w:rFonts w:ascii="Aptos Display" w:hAnsi="Aptos Display"/>
          <w:color w:val="1F4E79"/>
          <w:sz w:val="36"/>
        </w:rPr>
        <w:t>1. Executive Summary</w:t>
      </w:r>
    </w:p>
    <w:p>
      <w:pPr>
        <w:spacing w:after="120"/>
      </w:pPr>
      <w:r>
        <w:rPr>
          <w:rFonts w:ascii="Aptos" w:hAnsi="Aptos"/>
          <w:sz w:val="20"/>
        </w:rPr>
        <w:t>The project is an AI-capable, deterministic-first email triage agent for elevator KPI alerts. It reads alert emails, classifies the alert family, extracts important fields, creates or updates cases, drafts safe outbound messages, tracks replies, schedules follow-ups, and records deterministic memory/pattern signals.</w:t>
      </w:r>
    </w:p>
    <w:p>
      <w:pPr>
        <w:spacing w:after="120"/>
      </w:pPr>
      <w:r>
        <w:rPr>
          <w:rFonts w:ascii="Aptos" w:hAnsi="Aptos"/>
          <w:sz w:val="20"/>
        </w:rPr>
        <w:t>The foundation is genuinely promising. It already has several instincts that many prototypes miss: AI is opt-in and budgeted, demo sending is guarded, backlog mode does not send outbound emails, replies do not auto-close cases, and model usage is centralized behind one gateway.</w:t>
      </w:r>
    </w:p>
    <w:p>
      <w:pPr>
        <w:spacing w:after="120"/>
      </w:pPr>
      <w:r>
        <w:rPr>
          <w:rFonts w:ascii="Aptos" w:hAnsi="Aptos"/>
          <w:sz w:val="20"/>
        </w:rPr>
        <w:t>The brutal diagnosis: this is still an MVP. The next risk is not whether the code can run. It can. The next risk is whether it can run without creating a mountain of manual review, incorrect grouping, wrong recipients, stale follow-ups, and unclear accountability. That is the line between a cool agent and a useful operations system.</w:t>
      </w:r>
    </w:p>
    <w:p>
      <w:pPr>
        <w:pStyle w:val="Heading2"/>
      </w:pPr>
      <w:r>
        <w:rPr>
          <w:rFonts w:ascii="Aptos Display" w:hAnsi="Aptos Display"/>
          <w:color w:val="2F5496"/>
          <w:sz w:val="28"/>
        </w:rPr>
        <w:t>The Ten Most Important Criticisms</w:t>
      </w:r>
    </w:p>
    <w:p>
      <w:pPr>
        <w:pStyle w:val="ListNumber"/>
        <w:spacing w:after="40"/>
      </w:pPr>
      <w:r>
        <w:rPr>
          <w:rFonts w:ascii="Aptos" w:hAnsi="Aptos"/>
          <w:sz w:val="19"/>
        </w:rPr>
        <w:t>This is a promising MVP, but it is not a production operations system yet.</w:t>
      </w:r>
    </w:p>
    <w:p>
      <w:pPr>
        <w:pStyle w:val="ListNumber"/>
        <w:spacing w:after="40"/>
      </w:pPr>
      <w:r>
        <w:rPr>
          <w:rFonts w:ascii="Aptos" w:hAnsi="Aptos"/>
          <w:sz w:val="19"/>
        </w:rPr>
        <w:t>The main risk is not AI hallucination. The bigger risk is brittle deterministic logic combined with unclear review workflows.</w:t>
      </w:r>
    </w:p>
    <w:p>
      <w:pPr>
        <w:pStyle w:val="ListNumber"/>
        <w:spacing w:after="40"/>
      </w:pPr>
      <w:r>
        <w:rPr>
          <w:rFonts w:ascii="Aptos" w:hAnsi="Aptos"/>
          <w:sz w:val="19"/>
        </w:rPr>
        <w:t>The code currently knows too much about business policy. Policy should become data, not scattered constants.</w:t>
      </w:r>
    </w:p>
    <w:p>
      <w:pPr>
        <w:pStyle w:val="ListNumber"/>
        <w:spacing w:after="40"/>
      </w:pPr>
      <w:r>
        <w:rPr>
          <w:rFonts w:ascii="Aptos" w:hAnsi="Aptos"/>
          <w:sz w:val="19"/>
        </w:rPr>
        <w:t>Manual review is under-modeled. It needs queues, reason codes, SLAs, owners, bulk actions, and feedback loops.</w:t>
      </w:r>
    </w:p>
    <w:p>
      <w:pPr>
        <w:pStyle w:val="ListNumber"/>
        <w:spacing w:after="40"/>
      </w:pPr>
      <w:r>
        <w:rPr>
          <w:rFonts w:ascii="Aptos" w:hAnsi="Aptos"/>
          <w:sz w:val="19"/>
        </w:rPr>
        <w:t>The system needs a contact and routing brain before it can safely send anything outside demo mode.</w:t>
      </w:r>
    </w:p>
    <w:p>
      <w:pPr>
        <w:pStyle w:val="ListNumber"/>
        <w:spacing w:after="40"/>
      </w:pPr>
      <w:r>
        <w:rPr>
          <w:rFonts w:ascii="Aptos" w:hAnsi="Aptos"/>
          <w:sz w:val="19"/>
        </w:rPr>
        <w:t>Backlog mode should become a learning machine for parser improvement, not just an importer that reports failures.</w:t>
      </w:r>
    </w:p>
    <w:p>
      <w:pPr>
        <w:pStyle w:val="ListNumber"/>
        <w:spacing w:after="40"/>
      </w:pPr>
      <w:r>
        <w:rPr>
          <w:rFonts w:ascii="Aptos" w:hAnsi="Aptos"/>
          <w:sz w:val="19"/>
        </w:rPr>
        <w:t>Memory is useful, but it needs confidence, evidence display, decay, conflict handling, and false-positive management.</w:t>
      </w:r>
    </w:p>
    <w:p>
      <w:pPr>
        <w:pStyle w:val="ListNumber"/>
        <w:spacing w:after="40"/>
      </w:pPr>
      <w:r>
        <w:rPr>
          <w:rFonts w:ascii="Aptos" w:hAnsi="Aptos"/>
          <w:sz w:val="19"/>
        </w:rPr>
        <w:t>SQLite is acceptable for a demo. Postgres plus migrations is the responsible next step for multi-user operation.</w:t>
      </w:r>
    </w:p>
    <w:p>
      <w:pPr>
        <w:pStyle w:val="ListNumber"/>
        <w:spacing w:after="40"/>
      </w:pPr>
      <w:r>
        <w:rPr>
          <w:rFonts w:ascii="Aptos" w:hAnsi="Aptos"/>
          <w:sz w:val="19"/>
        </w:rPr>
        <w:t>Operational observability is currently far below what an unattended email agent needs.</w:t>
      </w:r>
    </w:p>
    <w:p>
      <w:pPr>
        <w:pStyle w:val="ListNumber"/>
        <w:spacing w:after="40"/>
      </w:pPr>
      <w:r>
        <w:rPr>
          <w:rFonts w:ascii="Aptos" w:hAnsi="Aptos"/>
          <w:sz w:val="19"/>
        </w:rPr>
        <w:t>Turning on more AI without fixing taxonomy, routing, review, and measurement would be expensive duct tape.</w:t>
      </w:r>
    </w:p>
    <w:p>
      <w:pPr>
        <w:pStyle w:val="Heading2"/>
      </w:pPr>
      <w:r>
        <w:rPr>
          <w:rFonts w:ascii="Aptos Display" w:hAnsi="Aptos Display"/>
          <w:color w:val="2F5496"/>
          <w:sz w:val="28"/>
        </w:rPr>
        <w:t>Immediate Production Blockers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rPr>
          <w:tblHeader w:val="true"/>
        </w:trPr>
        <w:tc>
          <w:tcPr>
            <w:tcW w:type="dxa" w:w="2592"/>
            <w:vAlign w:val="top"/>
            <w:shd w:fill="1F4E79"/>
          </w:tcPr>
          <w:p>
            <w:r/>
            <w:r>
              <w:rPr>
                <w:b/>
                <w:color w:val="FFFFFF"/>
                <w:sz w:val="16"/>
              </w:rPr>
              <w:t>Issue</w:t>
            </w:r>
          </w:p>
        </w:tc>
        <w:tc>
          <w:tcPr>
            <w:tcW w:type="dxa" w:w="1152"/>
            <w:vAlign w:val="top"/>
            <w:shd w:fill="1F4E79"/>
          </w:tcPr>
          <w:p>
            <w:r/>
            <w:r>
              <w:rPr>
                <w:b/>
                <w:color w:val="FFFFFF"/>
                <w:sz w:val="16"/>
              </w:rPr>
              <w:t>Severity</w:t>
            </w:r>
          </w:p>
        </w:tc>
        <w:tc>
          <w:tcPr>
            <w:tcW w:type="dxa" w:w="6768"/>
            <w:vAlign w:val="top"/>
            <w:shd w:fill="1F4E79"/>
          </w:tcPr>
          <w:p>
            <w:r/>
            <w:r>
              <w:rPr>
                <w:b/>
                <w:color w:val="FFFFFF"/>
                <w:sz w:val="16"/>
              </w:rPr>
              <w:t>Why it matters</w:t>
            </w:r>
          </w:p>
        </w:tc>
      </w:tr>
      <w:tr>
        <w:tc>
          <w:tcPr>
            <w:tcW w:type="dxa" w:w="2592"/>
            <w:vAlign w:val="top"/>
          </w:tcPr>
          <w:p>
            <w:r/>
            <w:r>
              <w:rPr>
                <w:b w:val="0"/>
                <w:sz w:val="16"/>
              </w:rPr>
              <w:t>Live routing is not real yet</w:t>
            </w:r>
          </w:p>
        </w:tc>
        <w:tc>
          <w:tcPr>
            <w:tcW w:type="dxa" w:w="1152"/>
            <w:vAlign w:val="top"/>
          </w:tcPr>
          <w:p>
            <w:r/>
            <w:r>
              <w:rPr>
                <w:b w:val="0"/>
                <w:sz w:val="16"/>
              </w:rPr>
              <w:t>Blocker</w:t>
            </w:r>
          </w:p>
        </w:tc>
        <w:tc>
          <w:tcPr>
            <w:tcW w:type="dxa" w:w="6768"/>
            <w:vAlign w:val="top"/>
          </w:tcPr>
          <w:p>
            <w:r/>
            <w:r>
              <w:rPr>
                <w:b w:val="0"/>
                <w:sz w:val="16"/>
              </w:rPr>
              <w:t>The new-case path uses a placeholder contractor recipient. A production system needs contact resolution by building, contractor, case type, escalation stage, and client visibility rules.</w:t>
            </w:r>
          </w:p>
        </w:tc>
      </w:tr>
      <w:tr>
        <w:tc>
          <w:tcPr>
            <w:tcW w:type="dxa" w:w="2592"/>
            <w:vAlign w:val="top"/>
          </w:tcPr>
          <w:p>
            <w:r/>
            <w:r>
              <w:rPr>
                <w:b w:val="0"/>
                <w:sz w:val="16"/>
              </w:rPr>
              <w:t>Manual review can become the default path</w:t>
            </w:r>
          </w:p>
        </w:tc>
        <w:tc>
          <w:tcPr>
            <w:tcW w:type="dxa" w:w="1152"/>
            <w:vAlign w:val="top"/>
          </w:tcPr>
          <w:p>
            <w:r/>
            <w:r>
              <w:rPr>
                <w:b w:val="0"/>
                <w:sz w:val="16"/>
              </w:rPr>
              <w:t>Blocker</w:t>
            </w:r>
          </w:p>
        </w:tc>
        <w:tc>
          <w:tcPr>
            <w:tcW w:type="dxa" w:w="6768"/>
            <w:vAlign w:val="top"/>
          </w:tcPr>
          <w:p>
            <w:r/>
            <w:r>
              <w:rPr>
                <w:b w:val="0"/>
                <w:sz w:val="16"/>
              </w:rPr>
              <w:t>Ambiguous classification, unsupported KPI families, missing required fields, and injection flags all create review pressure. Without reason-coded queues, review will drown the operator.</w:t>
            </w:r>
          </w:p>
        </w:tc>
      </w:tr>
      <w:tr>
        <w:tc>
          <w:tcPr>
            <w:tcW w:type="dxa" w:w="2592"/>
            <w:vAlign w:val="top"/>
          </w:tcPr>
          <w:p>
            <w:r/>
            <w:r>
              <w:rPr>
                <w:b w:val="0"/>
                <w:sz w:val="16"/>
              </w:rPr>
              <w:t>Business policy is hard-coded</w:t>
            </w:r>
          </w:p>
        </w:tc>
        <w:tc>
          <w:tcPr>
            <w:tcW w:type="dxa" w:w="1152"/>
            <w:vAlign w:val="top"/>
          </w:tcPr>
          <w:p>
            <w:r/>
            <w:r>
              <w:rPr>
                <w:b w:val="0"/>
                <w:sz w:val="16"/>
              </w:rPr>
              <w:t>Blocker</w:t>
            </w:r>
          </w:p>
        </w:tc>
        <w:tc>
          <w:tcPr>
            <w:tcW w:type="dxa" w:w="6768"/>
            <w:vAlign w:val="top"/>
          </w:tcPr>
          <w:p>
            <w:r/>
            <w:r>
              <w:rPr>
                <w:b w:val="0"/>
                <w:sz w:val="16"/>
              </w:rPr>
              <w:t>Supported case types, subject patterns, required fields, priorities, follow-up timing, and escalation thresholds live in Python constants instead of a versioned case taxonomy registry.</w:t>
            </w:r>
          </w:p>
        </w:tc>
      </w:tr>
      <w:tr>
        <w:tc>
          <w:tcPr>
            <w:tcW w:type="dxa" w:w="2592"/>
            <w:vAlign w:val="top"/>
          </w:tcPr>
          <w:p>
            <w:r/>
            <w:r>
              <w:rPr>
                <w:b w:val="0"/>
                <w:sz w:val="16"/>
              </w:rPr>
              <w:t>No migration strategy</w:t>
            </w:r>
          </w:p>
        </w:tc>
        <w:tc>
          <w:tcPr>
            <w:tcW w:type="dxa" w:w="1152"/>
            <w:vAlign w:val="top"/>
          </w:tcPr>
          <w:p>
            <w:r/>
            <w:r>
              <w:rPr>
                <w:b w:val="0"/>
                <w:sz w:val="16"/>
              </w:rPr>
              <w:t>Blocker</w:t>
            </w:r>
          </w:p>
        </w:tc>
        <w:tc>
          <w:tcPr>
            <w:tcW w:type="dxa" w:w="6768"/>
            <w:vAlign w:val="top"/>
          </w:tcPr>
          <w:p>
            <w:r/>
            <w:r>
              <w:rPr>
                <w:b w:val="0"/>
                <w:sz w:val="16"/>
              </w:rPr>
              <w:t>SQLite schema creation is additive but there is no Alembic-style migration history, data migration plan, or backwards-compatible schema versioning.</w:t>
            </w:r>
          </w:p>
        </w:tc>
      </w:tr>
      <w:tr>
        <w:tc>
          <w:tcPr>
            <w:tcW w:type="dxa" w:w="2592"/>
            <w:vAlign w:val="top"/>
          </w:tcPr>
          <w:p>
            <w:r/>
            <w:r>
              <w:rPr>
                <w:b w:val="0"/>
                <w:sz w:val="16"/>
              </w:rPr>
              <w:t>Weak production isolation</w:t>
            </w:r>
          </w:p>
        </w:tc>
        <w:tc>
          <w:tcPr>
            <w:tcW w:type="dxa" w:w="1152"/>
            <w:vAlign w:val="top"/>
          </w:tcPr>
          <w:p>
            <w:r/>
            <w:r>
              <w:rPr>
                <w:b w:val="0"/>
                <w:sz w:val="16"/>
              </w:rPr>
              <w:t>Blocker</w:t>
            </w:r>
          </w:p>
        </w:tc>
        <w:tc>
          <w:tcPr>
            <w:tcW w:type="dxa" w:w="6768"/>
            <w:vAlign w:val="top"/>
          </w:tcPr>
          <w:p>
            <w:r/>
            <w:r>
              <w:rPr>
                <w:b w:val="0"/>
                <w:sz w:val="16"/>
              </w:rPr>
              <w:t>The current run mode combines Flask, IMAP polling, APScheduler, SQLite, and outbound creation in one process. That is fine for a demo, not for a reliable service.</w:t>
            </w:r>
          </w:p>
        </w:tc>
      </w:tr>
      <w:tr>
        <w:tc>
          <w:tcPr>
            <w:tcW w:type="dxa" w:w="2592"/>
            <w:vAlign w:val="top"/>
          </w:tcPr>
          <w:p>
            <w:r/>
            <w:r>
              <w:rPr>
                <w:b w:val="0"/>
                <w:sz w:val="16"/>
              </w:rPr>
              <w:t>No real authentication story for the UI</w:t>
            </w:r>
          </w:p>
        </w:tc>
        <w:tc>
          <w:tcPr>
            <w:tcW w:type="dxa" w:w="1152"/>
            <w:vAlign w:val="top"/>
          </w:tcPr>
          <w:p>
            <w:r/>
            <w:r>
              <w:rPr>
                <w:b w:val="0"/>
                <w:sz w:val="16"/>
              </w:rPr>
              <w:t>Blocker</w:t>
            </w:r>
          </w:p>
        </w:tc>
        <w:tc>
          <w:tcPr>
            <w:tcW w:type="dxa" w:w="6768"/>
            <w:vAlign w:val="top"/>
          </w:tcPr>
          <w:p>
            <w:r/>
            <w:r>
              <w:rPr>
                <w:b w:val="0"/>
                <w:sz w:val="16"/>
              </w:rPr>
              <w:t>The uploaded bundle references a Flask UI but does not include the web source. Before live use, the review UI needs authentication, authorization, audit, CSRF protection, and role-based actions.</w:t>
            </w:r>
          </w:p>
        </w:tc>
      </w:tr>
      <w:tr>
        <w:tc>
          <w:tcPr>
            <w:tcW w:type="dxa" w:w="2592"/>
            <w:vAlign w:val="top"/>
          </w:tcPr>
          <w:p>
            <w:r/>
            <w:r>
              <w:rPr>
                <w:b w:val="0"/>
                <w:sz w:val="16"/>
              </w:rPr>
              <w:t>Prompt-injection handling is too shallow</w:t>
            </w:r>
          </w:p>
        </w:tc>
        <w:tc>
          <w:tcPr>
            <w:tcW w:type="dxa" w:w="1152"/>
            <w:vAlign w:val="top"/>
          </w:tcPr>
          <w:p>
            <w:r/>
            <w:r>
              <w:rPr>
                <w:b w:val="0"/>
                <w:sz w:val="16"/>
              </w:rPr>
              <w:t>High</w:t>
            </w:r>
          </w:p>
        </w:tc>
        <w:tc>
          <w:tcPr>
            <w:tcW w:type="dxa" w:w="6768"/>
            <w:vAlign w:val="top"/>
          </w:tcPr>
          <w:p>
            <w:r/>
            <w:r>
              <w:rPr>
                <w:b w:val="0"/>
                <w:sz w:val="16"/>
              </w:rPr>
              <w:t>Regex detection is useful, but it is not enough. Untrusted email content, AI output, cache entries, and outbound text need layered validation and structured allowlists.</w:t>
            </w:r>
          </w:p>
        </w:tc>
      </w:tr>
      <w:tr>
        <w:tc>
          <w:tcPr>
            <w:tcW w:type="dxa" w:w="2592"/>
            <w:vAlign w:val="top"/>
          </w:tcPr>
          <w:p>
            <w:r/>
            <w:r>
              <w:rPr>
                <w:b w:val="0"/>
                <w:sz w:val="16"/>
              </w:rPr>
              <w:t>No production observability</w:t>
            </w:r>
          </w:p>
        </w:tc>
        <w:tc>
          <w:tcPr>
            <w:tcW w:type="dxa" w:w="1152"/>
            <w:vAlign w:val="top"/>
          </w:tcPr>
          <w:p>
            <w:r/>
            <w:r>
              <w:rPr>
                <w:b w:val="0"/>
                <w:sz w:val="16"/>
              </w:rPr>
              <w:t>High</w:t>
            </w:r>
          </w:p>
        </w:tc>
        <w:tc>
          <w:tcPr>
            <w:tcW w:type="dxa" w:w="6768"/>
            <w:vAlign w:val="top"/>
          </w:tcPr>
          <w:p>
            <w:r/>
            <w:r>
              <w:rPr>
                <w:b w:val="0"/>
                <w:sz w:val="16"/>
              </w:rPr>
              <w:t>Print statements and JSON reports are not enough. The system needs structured logs, metrics, tracing, alerting, and dashboards for review rate, parser failures, grouping collisions, sends, and AI spend.</w:t>
            </w:r>
          </w:p>
        </w:tc>
      </w:tr>
      <w:tr>
        <w:tc>
          <w:tcPr>
            <w:tcW w:type="dxa" w:w="2592"/>
            <w:vAlign w:val="top"/>
          </w:tcPr>
          <w:p>
            <w:r/>
            <w:r>
              <w:rPr>
                <w:b w:val="0"/>
                <w:sz w:val="16"/>
              </w:rPr>
              <w:t>No durable work queue</w:t>
            </w:r>
          </w:p>
        </w:tc>
        <w:tc>
          <w:tcPr>
            <w:tcW w:type="dxa" w:w="1152"/>
            <w:vAlign w:val="top"/>
          </w:tcPr>
          <w:p>
            <w:r/>
            <w:r>
              <w:rPr>
                <w:b w:val="0"/>
                <w:sz w:val="16"/>
              </w:rPr>
              <w:t>High</w:t>
            </w:r>
          </w:p>
        </w:tc>
        <w:tc>
          <w:tcPr>
            <w:tcW w:type="dxa" w:w="6768"/>
            <w:vAlign w:val="top"/>
          </w:tcPr>
          <w:p>
            <w:r/>
            <w:r>
              <w:rPr>
                <w:b w:val="0"/>
                <w:sz w:val="16"/>
              </w:rPr>
              <w:t>Long-running or failure-prone tasks are handled in-process. Production ingestion, classification, extraction, follow-up, and outbound drafting should be queue-backed and retry-aware.</w:t>
            </w:r>
          </w:p>
        </w:tc>
      </w:tr>
      <w:tr>
        <w:tc>
          <w:tcPr>
            <w:tcW w:type="dxa" w:w="2592"/>
            <w:vAlign w:val="top"/>
          </w:tcPr>
          <w:p>
            <w:r/>
            <w:r>
              <w:rPr>
                <w:b w:val="0"/>
                <w:sz w:val="16"/>
              </w:rPr>
              <w:t>Testing is still demo-centric</w:t>
            </w:r>
          </w:p>
        </w:tc>
        <w:tc>
          <w:tcPr>
            <w:tcW w:type="dxa" w:w="1152"/>
            <w:vAlign w:val="top"/>
          </w:tcPr>
          <w:p>
            <w:r/>
            <w:r>
              <w:rPr>
                <w:b w:val="0"/>
                <w:sz w:val="16"/>
              </w:rPr>
              <w:t>High</w:t>
            </w:r>
          </w:p>
        </w:tc>
        <w:tc>
          <w:tcPr>
            <w:tcW w:type="dxa" w:w="6768"/>
            <w:vAlign w:val="top"/>
          </w:tcPr>
          <w:p>
            <w:r/>
            <w:r>
              <w:rPr>
                <w:b w:val="0"/>
                <w:sz w:val="16"/>
              </w:rPr>
              <w:t>The offline harness is good, but it needs golden real-world samples, mutation tests, parser regression tests, load tests, security tests, and end-to-end acceptance tests.</w:t>
            </w:r>
          </w:p>
        </w:tc>
      </w:tr>
    </w:tbl>
    <w:p/>
    <w:p>
      <w:pPr>
        <w:pStyle w:val="Heading2"/>
      </w:pPr>
      <w:r>
        <w:rPr>
          <w:rFonts w:ascii="Aptos Display" w:hAnsi="Aptos Display"/>
          <w:color w:val="2F5496"/>
          <w:sz w:val="28"/>
        </w:rPr>
        <w:t>What Is Already Good</w:t>
      </w:r>
    </w:p>
    <w:p>
      <w:pPr>
        <w:pStyle w:val="ListBullet"/>
        <w:spacing w:after="40"/>
      </w:pPr>
      <w:r>
        <w:rPr>
          <w:rFonts w:ascii="Aptos" w:hAnsi="Aptos"/>
          <w:sz w:val="19"/>
        </w:rPr>
        <w:t>The deterministic-first posture is the right default for KPI emails. Known templates should not spend AI budget.</w:t>
      </w:r>
    </w:p>
    <w:p>
      <w:pPr>
        <w:pStyle w:val="ListBullet"/>
        <w:spacing w:after="40"/>
      </w:pPr>
      <w:r>
        <w:rPr>
          <w:rFonts w:ascii="Aptos" w:hAnsi="Aptos"/>
          <w:sz w:val="19"/>
        </w:rPr>
        <w:t>The AI gateway is a strong boundary. Centralized budgets, cache, reports, and opt-in behavior are exactly the right instinct.</w:t>
      </w:r>
    </w:p>
    <w:p>
      <w:pPr>
        <w:pStyle w:val="ListBullet"/>
        <w:spacing w:after="40"/>
      </w:pPr>
      <w:r>
        <w:rPr>
          <w:rFonts w:ascii="Aptos" w:hAnsi="Aptos"/>
          <w:sz w:val="19"/>
        </w:rPr>
        <w:t>Demo safety is genuinely thoughtful. Outbound redirect, placeholder credential behavior, and offline harness network blocks are not afterthoughts.</w:t>
      </w:r>
    </w:p>
    <w:p>
      <w:pPr>
        <w:pStyle w:val="ListBullet"/>
        <w:spacing w:after="40"/>
      </w:pPr>
      <w:r>
        <w:rPr>
          <w:rFonts w:ascii="Aptos" w:hAnsi="Aptos"/>
          <w:sz w:val="19"/>
        </w:rPr>
        <w:t>The system keeps humans in control of closure. Replies can suggest resolution, but cases are not closed automatically.</w:t>
      </w:r>
    </w:p>
    <w:p>
      <w:pPr>
        <w:pStyle w:val="ListBullet"/>
        <w:spacing w:after="40"/>
      </w:pPr>
      <w:r>
        <w:rPr>
          <w:rFonts w:ascii="Aptos" w:hAnsi="Aptos"/>
          <w:sz w:val="19"/>
        </w:rPr>
        <w:t>Backlog mode is separated from live sending and follow-ups. Historical import should never surprise-send messages.</w:t>
      </w:r>
    </w:p>
    <w:p>
      <w:pPr>
        <w:pStyle w:val="ListBullet"/>
        <w:spacing w:after="40"/>
      </w:pPr>
      <w:r>
        <w:rPr>
          <w:rFonts w:ascii="Aptos" w:hAnsi="Aptos"/>
          <w:sz w:val="19"/>
        </w:rPr>
        <w:t>Memory and pattern flags are persisted as evidence-driven state rather than pure model speculation.</w:t>
      </w:r>
    </w:p>
    <w:p>
      <w:pPr>
        <w:pStyle w:val="ListBullet"/>
        <w:spacing w:after="40"/>
      </w:pPr>
      <w:r>
        <w:rPr>
          <w:rFonts w:ascii="Aptos" w:hAnsi="Aptos"/>
          <w:sz w:val="19"/>
        </w:rPr>
        <w:t>The code is modular enough that it can be refactored into service boundaries without throwing everything away.</w:t>
      </w:r>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7F3E8"/>
          </w:tcPr>
          <w:p>
            <w:r/>
            <w:r>
              <w:rPr>
                <w:rFonts w:ascii="Aptos" w:hAnsi="Aptos"/>
                <w:b/>
                <w:sz w:val="21"/>
              </w:rPr>
              <w:t>Bottom line</w:t>
            </w:r>
          </w:p>
          <w:p>
            <w:r>
              <w:rPr>
                <w:rFonts w:ascii="Aptos" w:hAnsi="Aptos"/>
                <w:sz w:val="18"/>
              </w:rPr>
              <w:t>Do not treat this as a bad system. Treat it as a strong skeleton that needs policy, routing, review operations, data discipline, and production hardening before it becomes trusted infrastructure.</w:t>
            </w:r>
          </w:p>
        </w:tc>
      </w:tr>
    </w:tbl>
    <w:p/>
    <w:p>
      <w:r>
        <w:br w:type="page"/>
      </w:r>
    </w:p>
    <w:p>
      <w:pPr>
        <w:pStyle w:val="Heading1"/>
      </w:pPr>
      <w:r>
        <w:rPr>
          <w:rFonts w:ascii="Aptos Display" w:hAnsi="Aptos Display"/>
          <w:color w:val="1F4E79"/>
          <w:sz w:val="36"/>
        </w:rPr>
        <w:t>2. Plain-English System Overview</w:t>
      </w:r>
    </w:p>
    <w:p>
      <w:pPr>
        <w:spacing w:after="120"/>
      </w:pPr>
      <w:r>
        <w:rPr>
          <w:rFonts w:ascii="Aptos" w:hAnsi="Aptos"/>
          <w:sz w:val="20"/>
        </w:rPr>
        <w:t>The system tries to turn noisy KPI alert emails into a manageable case workflow. Instead of letting every email become a standalone task, it classifies the alert, extracts the facts, groups repeated alerts into the same case, drafts follow-up communication, and tracks whether the issue appears to be progressing.</w:t>
      </w:r>
    </w:p>
    <w:p>
      <w:pPr>
        <w:spacing w:after="120"/>
      </w:pPr>
      <w:r>
        <w:rPr>
          <w:rFonts w:ascii="Aptos" w:hAnsi="Aptos"/>
          <w:sz w:val="20"/>
        </w:rPr>
        <w:t>The current supported case families are CAT1 compliance, CAT5 compliance, data absence, maintenance hours shortfall, major work overdue, and government directive alerts. Other alert families are recognized in backlog mode as unsupported, but they are not part of the live supported case pipeline yet.</w:t>
      </w:r>
    </w:p>
    <w:p>
      <w:pPr>
        <w:spacing w:after="120"/>
      </w:pPr>
      <w:r>
        <w:rPr>
          <w:rFonts w:ascii="Aptos" w:hAnsi="Aptos"/>
          <w:sz w:val="20"/>
        </w:rPr>
        <w:t>The architecture is best described as deterministic-first with bounded AI fallback. Known templates should be handled by rules. AI is reserved for ambiguous classification, missing field completion, outbound drafting, reply analysis, or other optional tasks only when explicitly enabled and budgeted.</w:t>
      </w:r>
    </w:p>
    <w:p>
      <w:pPr>
        <w:spacing w:after="120"/>
      </w:pPr>
      <w:r>
        <w:rPr>
          <w:rFonts w:ascii="Aptos" w:hAnsi="Aptos"/>
          <w:sz w:val="20"/>
        </w:rPr>
        <w:t>The product goal is sensible: reduce manual alert triage, preserve human control over closure, make escalation more consistent, and eventually surface intelligence about repeated issues. The current implementation demonstrates this direction, but the operational workflow is not mature enough yet.</w:t>
      </w:r>
    </w:p>
    <w:p>
      <w:pPr>
        <w:pStyle w:val="Heading2"/>
      </w:pPr>
      <w:r>
        <w:rPr>
          <w:rFonts w:ascii="Aptos Display" w:hAnsi="Aptos Display"/>
          <w:color w:val="2F5496"/>
          <w:sz w:val="28"/>
        </w:rPr>
        <w:t>Core Flow in Human Terms</w:t>
      </w:r>
    </w:p>
    <w:p>
      <w:pPr>
        <w:pStyle w:val="ListBullet"/>
        <w:spacing w:after="40"/>
      </w:pPr>
      <w:r>
        <w:rPr>
          <w:rFonts w:ascii="Aptos" w:hAnsi="Aptos"/>
          <w:sz w:val="19"/>
        </w:rPr>
        <w:t>An email arrives from a KPI alert source or is loaded from historical backlog.</w:t>
      </w:r>
    </w:p>
    <w:p>
      <w:pPr>
        <w:pStyle w:val="ListBullet"/>
        <w:spacing w:after="40"/>
      </w:pPr>
      <w:r>
        <w:rPr>
          <w:rFonts w:ascii="Aptos" w:hAnsi="Aptos"/>
          <w:sz w:val="19"/>
        </w:rPr>
        <w:t>The system filters obvious noise such as auto-replies or delivery failures.</w:t>
      </w:r>
    </w:p>
    <w:p>
      <w:pPr>
        <w:pStyle w:val="ListBullet"/>
        <w:spacing w:after="40"/>
      </w:pPr>
      <w:r>
        <w:rPr>
          <w:rFonts w:ascii="Aptos" w:hAnsi="Aptos"/>
          <w:sz w:val="19"/>
        </w:rPr>
        <w:t>The classifier decides whether the email belongs to one of the supported KPI case types.</w:t>
      </w:r>
    </w:p>
    <w:p>
      <w:pPr>
        <w:pStyle w:val="ListBullet"/>
        <w:spacing w:after="40"/>
      </w:pPr>
      <w:r>
        <w:rPr>
          <w:rFonts w:ascii="Aptos" w:hAnsi="Aptos"/>
          <w:sz w:val="19"/>
        </w:rPr>
        <w:t>The extractor pulls out building, device, contractor, date, period, hours, description, or other required facts.</w:t>
      </w:r>
    </w:p>
    <w:p>
      <w:pPr>
        <w:pStyle w:val="ListBullet"/>
        <w:spacing w:after="40"/>
      </w:pPr>
      <w:r>
        <w:rPr>
          <w:rFonts w:ascii="Aptos" w:hAnsi="Aptos"/>
          <w:sz w:val="19"/>
        </w:rPr>
        <w:t>The grouping key determines whether this is a new case or another alert for an existing case.</w:t>
      </w:r>
    </w:p>
    <w:p>
      <w:pPr>
        <w:pStyle w:val="ListBullet"/>
        <w:spacing w:after="40"/>
      </w:pPr>
      <w:r>
        <w:rPr>
          <w:rFonts w:ascii="Aptos" w:hAnsi="Aptos"/>
          <w:sz w:val="19"/>
        </w:rPr>
        <w:t>The case manager records events, extracted fields, follow-up state, and memory observations.</w:t>
      </w:r>
    </w:p>
    <w:p>
      <w:pPr>
        <w:pStyle w:val="ListBullet"/>
        <w:spacing w:after="40"/>
      </w:pPr>
      <w:r>
        <w:rPr>
          <w:rFonts w:ascii="Aptos" w:hAnsi="Aptos"/>
          <w:sz w:val="19"/>
        </w:rPr>
        <w:t>The outbound generator creates a draft or dry-run message, guarded by demo settings.</w:t>
      </w:r>
    </w:p>
    <w:p>
      <w:pPr>
        <w:pStyle w:val="ListBullet"/>
        <w:spacing w:after="40"/>
      </w:pPr>
      <w:r>
        <w:rPr>
          <w:rFonts w:ascii="Aptos" w:hAnsi="Aptos"/>
          <w:sz w:val="19"/>
        </w:rPr>
        <w:t>Replies are analyzed but do not automatically close cases.</w:t>
      </w:r>
    </w:p>
    <w:p>
      <w:pPr>
        <w:pStyle w:val="ListBullet"/>
        <w:spacing w:after="40"/>
      </w:pPr>
      <w:r>
        <w:rPr>
          <w:rFonts w:ascii="Aptos" w:hAnsi="Aptos"/>
          <w:sz w:val="19"/>
        </w:rPr>
        <w:t>Follow-ups run on a schedule and eventually escalate to manual review.</w:t>
      </w:r>
    </w:p>
    <w:p>
      <w:pPr>
        <w:pStyle w:val="Heading2"/>
      </w:pPr>
      <w:r>
        <w:rPr>
          <w:rFonts w:ascii="Aptos Display" w:hAnsi="Aptos Display"/>
          <w:color w:val="2F5496"/>
          <w:sz w:val="28"/>
        </w:rPr>
        <w:t>Current Demo Boundaries</w:t>
      </w:r>
    </w:p>
    <w:p>
      <w:pPr>
        <w:pStyle w:val="ListBullet"/>
        <w:spacing w:after="40"/>
      </w:pPr>
      <w:r>
        <w:rPr>
          <w:rFonts w:ascii="Aptos" w:hAnsi="Aptos"/>
          <w:sz w:val="19"/>
        </w:rPr>
        <w:t>AI is disabled by default and must be explicitly enabled with a budget.</w:t>
      </w:r>
    </w:p>
    <w:p>
      <w:pPr>
        <w:pStyle w:val="ListBullet"/>
        <w:spacing w:after="40"/>
      </w:pPr>
      <w:r>
        <w:rPr>
          <w:rFonts w:ascii="Aptos" w:hAnsi="Aptos"/>
          <w:sz w:val="19"/>
        </w:rPr>
        <w:t>Demo mode redirects outbound mail to a demo recipient.</w:t>
      </w:r>
    </w:p>
    <w:p>
      <w:pPr>
        <w:pStyle w:val="ListBullet"/>
        <w:spacing w:after="40"/>
      </w:pPr>
      <w:r>
        <w:rPr>
          <w:rFonts w:ascii="Aptos" w:hAnsi="Aptos"/>
          <w:sz w:val="19"/>
        </w:rPr>
        <w:t>Placeholder IMAP and SMTP credentials safely disable live inbox polling and live sending.</w:t>
      </w:r>
    </w:p>
    <w:p>
      <w:pPr>
        <w:pStyle w:val="ListBullet"/>
        <w:spacing w:after="40"/>
      </w:pPr>
      <w:r>
        <w:rPr>
          <w:rFonts w:ascii="Aptos" w:hAnsi="Aptos"/>
          <w:sz w:val="19"/>
        </w:rPr>
        <w:t>Backlog mode accepts JSON only and does not trigger outbound, follow-ups, or AI calls.</w:t>
      </w:r>
    </w:p>
    <w:p>
      <w:pPr>
        <w:pStyle w:val="ListBullet"/>
        <w:spacing w:after="40"/>
      </w:pPr>
      <w:r>
        <w:rPr>
          <w:rFonts w:ascii="Aptos" w:hAnsi="Aptos"/>
          <w:sz w:val="19"/>
        </w:rPr>
        <w:t>Cases are never closed automatically from replies or follow-ups.</w:t>
      </w:r>
    </w:p>
    <w:p>
      <w:pPr>
        <w:pStyle w:val="ListBullet"/>
        <w:spacing w:after="40"/>
      </w:pPr>
      <w:r>
        <w:rPr>
          <w:rFonts w:ascii="Aptos" w:hAnsi="Aptos"/>
          <w:sz w:val="19"/>
        </w:rPr>
        <w:t>The web UI is referenced in the docs, but the uploaded source bundle did not include web/app.py or templates for direct review.</w:t>
      </w:r>
    </w:p>
    <w:p>
      <w:r>
        <w:br w:type="page"/>
      </w:r>
    </w:p>
    <w:p>
      <w:pPr>
        <w:pStyle w:val="Heading1"/>
      </w:pPr>
      <w:r>
        <w:rPr>
          <w:rFonts w:ascii="Aptos Display" w:hAnsi="Aptos Display"/>
          <w:color w:val="1F4E79"/>
          <w:sz w:val="36"/>
        </w:rPr>
        <w:t>3. Comprehensive Critical Recommendations by Area</w:t>
      </w:r>
    </w:p>
    <w:p>
      <w:pPr>
        <w:spacing w:after="120"/>
      </w:pPr>
      <w:r>
        <w:rPr>
          <w:rFonts w:ascii="Aptos" w:hAnsi="Aptos"/>
          <w:sz w:val="20"/>
        </w:rPr>
        <w:t>This section is the expanded critique. Each area includes the current risk and the recommended improvement. The wording is direct on purpose: vague recommendations do not help you build the next version.</w:t>
      </w:r>
    </w:p>
    <w:p>
      <w:pPr>
        <w:pStyle w:val="Heading2"/>
      </w:pPr>
      <w:r>
        <w:rPr>
          <w:rFonts w:ascii="Aptos Display" w:hAnsi="Aptos Display"/>
          <w:color w:val="2F5496"/>
          <w:sz w:val="28"/>
        </w:rPr>
        <w:t>Architecture and service boundaries</w:t>
      </w:r>
    </w:p>
    <w:p>
      <w:pPr>
        <w:spacing w:after="80"/>
      </w:pPr>
      <w:r>
        <w:rPr>
          <w:rFonts w:ascii="Aptos" w:hAnsi="Aptos"/>
          <w:b/>
          <w:sz w:val="19"/>
        </w:rPr>
        <w:t xml:space="preserve">[Blocker] One process owns too many responsibilities.: </w:t>
      </w:r>
      <w:r>
        <w:rPr>
          <w:rFonts w:ascii="Aptos" w:hAnsi="Aptos"/>
          <w:sz w:val="19"/>
        </w:rPr>
        <w:t>Split ingestion, classify/extract, case management, follow-up scheduling, outbound drafting, and UI into explicit boundaries, even if they remain in one repo at first.</w:t>
      </w:r>
    </w:p>
    <w:p>
      <w:pPr>
        <w:spacing w:after="80"/>
      </w:pPr>
      <w:r>
        <w:rPr>
          <w:rFonts w:ascii="Aptos" w:hAnsi="Aptos"/>
          <w:b/>
          <w:sz w:val="19"/>
        </w:rPr>
        <w:t xml:space="preserve">[High] There is no durable queue.: </w:t>
      </w:r>
      <w:r>
        <w:rPr>
          <w:rFonts w:ascii="Aptos" w:hAnsi="Aptos"/>
          <w:sz w:val="19"/>
        </w:rPr>
        <w:t>Introduce a job table or queue such as Redis Queue, Celery, Dramatiq, or a simple Postgres-backed worker queue before scaling beyond demo use.</w:t>
      </w:r>
    </w:p>
    <w:p>
      <w:pPr>
        <w:spacing w:after="80"/>
      </w:pPr>
      <w:r>
        <w:rPr>
          <w:rFonts w:ascii="Aptos" w:hAnsi="Aptos"/>
          <w:b/>
          <w:sz w:val="19"/>
        </w:rPr>
        <w:t xml:space="preserve">[High] Module boundaries are clean but not enforceable.: </w:t>
      </w:r>
      <w:r>
        <w:rPr>
          <w:rFonts w:ascii="Aptos" w:hAnsi="Aptos"/>
          <w:sz w:val="19"/>
        </w:rPr>
        <w:t>Define interfaces for classifier, extractor, case repository, contact resolver, outbound service, and AI gateway. Test against interfaces, not concrete modules.</w:t>
      </w:r>
    </w:p>
    <w:p>
      <w:pPr>
        <w:spacing w:after="80"/>
      </w:pPr>
      <w:r>
        <w:rPr>
          <w:rFonts w:ascii="Aptos" w:hAnsi="Aptos"/>
          <w:b/>
          <w:sz w:val="19"/>
        </w:rPr>
        <w:t xml:space="preserve">[High] The app mixes CLI concerns, runtime setup, and product flow.: </w:t>
      </w:r>
      <w:r>
        <w:rPr>
          <w:rFonts w:ascii="Aptos" w:hAnsi="Aptos"/>
          <w:sz w:val="19"/>
        </w:rPr>
        <w:t>Move command wiring into a CLI package and keep product services importable without side effects.</w:t>
      </w:r>
    </w:p>
    <w:p>
      <w:pPr>
        <w:spacing w:after="80"/>
      </w:pPr>
      <w:r>
        <w:rPr>
          <w:rFonts w:ascii="Aptos" w:hAnsi="Aptos"/>
          <w:b/>
          <w:sz w:val="19"/>
        </w:rPr>
        <w:t xml:space="preserve">[Medium] There is no explicit domain layer.: </w:t>
      </w:r>
      <w:r>
        <w:rPr>
          <w:rFonts w:ascii="Aptos" w:hAnsi="Aptos"/>
          <w:sz w:val="19"/>
        </w:rPr>
        <w:t>Introduce domain objects for EmailMessage, Case, CaseEvent, ReviewItem, FollowupAction, Contact, and CasePolicy.</w:t>
      </w:r>
    </w:p>
    <w:p>
      <w:pPr>
        <w:spacing w:after="80"/>
      </w:pPr>
      <w:r>
        <w:rPr>
          <w:rFonts w:ascii="Aptos" w:hAnsi="Aptos"/>
          <w:b/>
          <w:sz w:val="19"/>
        </w:rPr>
        <w:t xml:space="preserve">[Medium] Scheduler and web server live together.: </w:t>
      </w:r>
      <w:r>
        <w:rPr>
          <w:rFonts w:ascii="Aptos" w:hAnsi="Aptos"/>
          <w:sz w:val="19"/>
        </w:rPr>
        <w:t>Run scheduler and workers separately from Flask or make it explicit that the combined mode is demo-only.</w:t>
      </w:r>
    </w:p>
    <w:p>
      <w:pPr>
        <w:spacing w:after="80"/>
      </w:pPr>
      <w:r>
        <w:rPr>
          <w:rFonts w:ascii="Aptos" w:hAnsi="Aptos"/>
          <w:b/>
          <w:sz w:val="19"/>
        </w:rPr>
        <w:t xml:space="preserve">[Medium] There is no deployment topology.: </w:t>
      </w:r>
      <w:r>
        <w:rPr>
          <w:rFonts w:ascii="Aptos" w:hAnsi="Aptos"/>
          <w:sz w:val="19"/>
        </w:rPr>
        <w:t>Document local demo, internal pilot, and production topologies separately so safety assumptions are not blurred.</w:t>
      </w:r>
    </w:p>
    <w:p>
      <w:pPr>
        <w:pStyle w:val="Heading2"/>
      </w:pPr>
      <w:r>
        <w:rPr>
          <w:rFonts w:ascii="Aptos Display" w:hAnsi="Aptos Display"/>
          <w:color w:val="2F5496"/>
          <w:sz w:val="28"/>
        </w:rPr>
        <w:t>Case taxonomy and business policy</w:t>
      </w:r>
    </w:p>
    <w:p>
      <w:pPr>
        <w:spacing w:after="80"/>
      </w:pPr>
      <w:r>
        <w:rPr>
          <w:rFonts w:ascii="Aptos" w:hAnsi="Aptos"/>
          <w:b/>
          <w:sz w:val="19"/>
        </w:rPr>
        <w:t xml:space="preserve">[Blocker] Case rules are hard-coded.: </w:t>
      </w:r>
      <w:r>
        <w:rPr>
          <w:rFonts w:ascii="Aptos" w:hAnsi="Aptos"/>
          <w:sz w:val="19"/>
        </w:rPr>
        <w:t>Move supported case types, required fields, grouping rules, priorities, owners, escalation stages, and closure criteria into a versioned taxonomy file.</w:t>
      </w:r>
    </w:p>
    <w:p>
      <w:pPr>
        <w:spacing w:after="80"/>
      </w:pPr>
      <w:r>
        <w:rPr>
          <w:rFonts w:ascii="Aptos" w:hAnsi="Aptos"/>
          <w:b/>
          <w:sz w:val="19"/>
        </w:rPr>
        <w:t xml:space="preserve">[Blocker] No policy version is stored on cases.: </w:t>
      </w:r>
      <w:r>
        <w:rPr>
          <w:rFonts w:ascii="Aptos" w:hAnsi="Aptos"/>
          <w:sz w:val="19"/>
        </w:rPr>
        <w:t>Persist policy_version and parser_version on every case and extracted field so future behavior changes do not corrupt historical interpretation.</w:t>
      </w:r>
    </w:p>
    <w:p>
      <w:pPr>
        <w:spacing w:after="80"/>
      </w:pPr>
      <w:r>
        <w:rPr>
          <w:rFonts w:ascii="Aptos" w:hAnsi="Aptos"/>
          <w:b/>
          <w:sz w:val="19"/>
        </w:rPr>
        <w:t xml:space="preserve">[High] Priority is too coarse and partly inconsistent.: </w:t>
      </w:r>
      <w:r>
        <w:rPr>
          <w:rFonts w:ascii="Aptos" w:hAnsi="Aptos"/>
          <w:sz w:val="19"/>
        </w:rPr>
        <w:t>Separate severity, urgency, SLA, routing level, and business impact. Do not use one priority string to mean all of them.</w:t>
      </w:r>
    </w:p>
    <w:p>
      <w:pPr>
        <w:spacing w:after="80"/>
      </w:pPr>
      <w:r>
        <w:rPr>
          <w:rFonts w:ascii="Aptos" w:hAnsi="Aptos"/>
          <w:b/>
          <w:sz w:val="19"/>
        </w:rPr>
        <w:t xml:space="preserve">[High] Closure rules are underspecified.: </w:t>
      </w:r>
      <w:r>
        <w:rPr>
          <w:rFonts w:ascii="Aptos" w:hAnsi="Aptos"/>
          <w:sz w:val="19"/>
        </w:rPr>
        <w:t>Define closing evidence by case type: contractor statement, report submitted, dashboard state, AHJ acceptance, client confirmation, or manual override.</w:t>
      </w:r>
    </w:p>
    <w:p>
      <w:pPr>
        <w:spacing w:after="80"/>
      </w:pPr>
      <w:r>
        <w:rPr>
          <w:rFonts w:ascii="Aptos" w:hAnsi="Aptos"/>
          <w:b/>
          <w:sz w:val="19"/>
        </w:rPr>
        <w:t xml:space="preserve">[High] Escalation is not policy-rich enough.: </w:t>
      </w:r>
      <w:r>
        <w:rPr>
          <w:rFonts w:ascii="Aptos" w:hAnsi="Aptos"/>
          <w:sz w:val="19"/>
        </w:rPr>
        <w:t>Model who gets notified at each stage, what message is sent, what timer starts, and what evidence stops the timer.</w:t>
      </w:r>
    </w:p>
    <w:p>
      <w:pPr>
        <w:spacing w:after="80"/>
      </w:pPr>
      <w:r>
        <w:rPr>
          <w:rFonts w:ascii="Aptos" w:hAnsi="Aptos"/>
          <w:b/>
          <w:sz w:val="19"/>
        </w:rPr>
        <w:t xml:space="preserve">[Medium] Taxonomy coverage is narrow.: </w:t>
      </w:r>
      <w:r>
        <w:rPr>
          <w:rFonts w:ascii="Aptos" w:hAnsi="Aptos"/>
          <w:sz w:val="19"/>
        </w:rPr>
        <w:t>Add planned families such as callbacks, uptime, MTBC, licenses, permits, AHJ directives, report deficiencies, no-car-running, and consultant report workflows.</w:t>
      </w:r>
    </w:p>
    <w:p>
      <w:pPr>
        <w:spacing w:after="80"/>
      </w:pPr>
      <w:r>
        <w:rPr>
          <w:rFonts w:ascii="Aptos" w:hAnsi="Aptos"/>
          <w:b/>
          <w:sz w:val="19"/>
        </w:rPr>
        <w:t xml:space="preserve">[Medium] No dry-run policy simulator exists.: </w:t>
      </w:r>
      <w:r>
        <w:rPr>
          <w:rFonts w:ascii="Aptos" w:hAnsi="Aptos"/>
          <w:sz w:val="19"/>
        </w:rPr>
        <w:t>Build a simulator that runs historical emails through proposed taxonomy changes and shows acceptance, review, grouping, and routing deltas.</w:t>
      </w:r>
    </w:p>
    <w:p>
      <w:pPr>
        <w:pStyle w:val="Heading2"/>
      </w:pPr>
      <w:r>
        <w:rPr>
          <w:rFonts w:ascii="Aptos Display" w:hAnsi="Aptos Display"/>
          <w:color w:val="2F5496"/>
          <w:sz w:val="28"/>
        </w:rPr>
        <w:t>Classification</w:t>
      </w:r>
    </w:p>
    <w:p>
      <w:pPr>
        <w:spacing w:after="80"/>
      </w:pPr>
      <w:r>
        <w:rPr>
          <w:rFonts w:ascii="Aptos" w:hAnsi="Aptos"/>
          <w:b/>
          <w:sz w:val="19"/>
        </w:rPr>
        <w:t xml:space="preserve">[High] Subject and phrase rules are brittle.: </w:t>
      </w:r>
      <w:r>
        <w:rPr>
          <w:rFonts w:ascii="Aptos" w:hAnsi="Aptos"/>
          <w:sz w:val="19"/>
        </w:rPr>
        <w:t>Create a classifier registry with patterns, negative patterns, examples, confidence, tests, and owner notes per case family.</w:t>
      </w:r>
    </w:p>
    <w:p>
      <w:pPr>
        <w:spacing w:after="80"/>
      </w:pPr>
      <w:r>
        <w:rPr>
          <w:rFonts w:ascii="Aptos" w:hAnsi="Aptos"/>
          <w:b/>
          <w:sz w:val="19"/>
        </w:rPr>
        <w:t xml:space="preserve">[High] Unknown handling creates review cases one-by-one.: </w:t>
      </w:r>
      <w:r>
        <w:rPr>
          <w:rFonts w:ascii="Aptos" w:hAnsi="Aptos"/>
          <w:sz w:val="19"/>
        </w:rPr>
        <w:t>Group unknowns by normalized subject family, sender, building hints, and body signature so reviewers can resolve batches.</w:t>
      </w:r>
    </w:p>
    <w:p>
      <w:pPr>
        <w:spacing w:after="80"/>
      </w:pPr>
      <w:r>
        <w:rPr>
          <w:rFonts w:ascii="Aptos" w:hAnsi="Aptos"/>
          <w:b/>
          <w:sz w:val="19"/>
        </w:rPr>
        <w:t xml:space="preserve">[High] Unsupported KPI handling is passive.: </w:t>
      </w:r>
      <w:r>
        <w:rPr>
          <w:rFonts w:ascii="Aptos" w:hAnsi="Aptos"/>
          <w:sz w:val="19"/>
        </w:rPr>
        <w:t>Turn unsupported-family counts into a backlog of new parser families, ranked by volume and operational value.</w:t>
      </w:r>
    </w:p>
    <w:p>
      <w:pPr>
        <w:spacing w:after="80"/>
      </w:pPr>
      <w:r>
        <w:rPr>
          <w:rFonts w:ascii="Aptos" w:hAnsi="Aptos"/>
          <w:b/>
          <w:sz w:val="19"/>
        </w:rPr>
        <w:t xml:space="preserve">[Medium] Noise filtering is too simple.: </w:t>
      </w:r>
      <w:r>
        <w:rPr>
          <w:rFonts w:ascii="Aptos" w:hAnsi="Aptos"/>
          <w:sz w:val="19"/>
        </w:rPr>
        <w:t>Use sender allowlists, unsubscribe headers, auto-submitted headers, message type metadata, and body signatures in addition to subject phrases.</w:t>
      </w:r>
    </w:p>
    <w:p>
      <w:pPr>
        <w:spacing w:after="80"/>
      </w:pPr>
      <w:r>
        <w:rPr>
          <w:rFonts w:ascii="Aptos" w:hAnsi="Aptos"/>
          <w:b/>
          <w:sz w:val="19"/>
        </w:rPr>
        <w:t xml:space="preserve">[Medium] There is no confidence calibration report.: </w:t>
      </w:r>
      <w:r>
        <w:rPr>
          <w:rFonts w:ascii="Aptos" w:hAnsi="Aptos"/>
          <w:sz w:val="19"/>
        </w:rPr>
        <w:t>Track deterministic confidence versus human corrections so confidence scores mean something.</w:t>
      </w:r>
    </w:p>
    <w:p>
      <w:pPr>
        <w:spacing w:after="80"/>
      </w:pPr>
      <w:r>
        <w:rPr>
          <w:rFonts w:ascii="Aptos" w:hAnsi="Aptos"/>
          <w:b/>
          <w:sz w:val="19"/>
        </w:rPr>
        <w:t xml:space="preserve">[Medium] Prompt injection and classification are coupled.: </w:t>
      </w:r>
      <w:r>
        <w:rPr>
          <w:rFonts w:ascii="Aptos" w:hAnsi="Aptos"/>
          <w:sz w:val="19"/>
        </w:rPr>
        <w:t>Keep security flags separate from semantic classification. A real KPI email can contain suspicious text and still need safe handling.</w:t>
      </w:r>
    </w:p>
    <w:p>
      <w:pPr>
        <w:spacing w:after="80"/>
      </w:pPr>
      <w:r>
        <w:rPr>
          <w:rFonts w:ascii="Aptos" w:hAnsi="Aptos"/>
          <w:b/>
          <w:sz w:val="19"/>
        </w:rPr>
        <w:t xml:space="preserve">[Low] No multilingual strategy exists.: </w:t>
      </w:r>
      <w:r>
        <w:rPr>
          <w:rFonts w:ascii="Aptos" w:hAnsi="Aptos"/>
          <w:sz w:val="19"/>
        </w:rPr>
        <w:t>Add French and bilingual subject/body variants if Solucore receives bilingual operational emails.</w:t>
      </w:r>
    </w:p>
    <w:p>
      <w:pPr>
        <w:pStyle w:val="Heading2"/>
      </w:pPr>
      <w:r>
        <w:rPr>
          <w:rFonts w:ascii="Aptos Display" w:hAnsi="Aptos Display"/>
          <w:color w:val="2F5496"/>
          <w:sz w:val="28"/>
        </w:rPr>
        <w:t>Extraction and parsing</w:t>
      </w:r>
    </w:p>
    <w:p>
      <w:pPr>
        <w:spacing w:after="80"/>
      </w:pPr>
      <w:r>
        <w:rPr>
          <w:rFonts w:ascii="Aptos" w:hAnsi="Aptos"/>
          <w:b/>
          <w:sz w:val="19"/>
        </w:rPr>
        <w:t xml:space="preserve">[Blocker] Required-field failure is too binary.: </w:t>
      </w:r>
      <w:r>
        <w:rPr>
          <w:rFonts w:ascii="Aptos" w:hAnsi="Aptos"/>
          <w:sz w:val="19"/>
        </w:rPr>
        <w:t>Allow partial case creation when grouping and routing are safe, while separately flagging missing details for repair.</w:t>
      </w:r>
    </w:p>
    <w:p>
      <w:pPr>
        <w:spacing w:after="80"/>
      </w:pPr>
      <w:r>
        <w:rPr>
          <w:rFonts w:ascii="Aptos" w:hAnsi="Aptos"/>
          <w:b/>
          <w:sz w:val="19"/>
        </w:rPr>
        <w:t xml:space="preserve">[High] Field extraction depends heavily on exact labels.: </w:t>
      </w:r>
      <w:r>
        <w:rPr>
          <w:rFonts w:ascii="Aptos" w:hAnsi="Aptos"/>
          <w:sz w:val="19"/>
        </w:rPr>
        <w:t>Add template signatures, table parsers, HTML table extraction, subject parsers, historical aliases, and sender-specific parsers.</w:t>
      </w:r>
    </w:p>
    <w:p>
      <w:pPr>
        <w:spacing w:after="80"/>
      </w:pPr>
      <w:r>
        <w:rPr>
          <w:rFonts w:ascii="Aptos" w:hAnsi="Aptos"/>
          <w:b/>
          <w:sz w:val="19"/>
        </w:rPr>
        <w:t xml:space="preserve">[High] No field-level provenance model exists.: </w:t>
      </w:r>
      <w:r>
        <w:rPr>
          <w:rFonts w:ascii="Aptos" w:hAnsi="Aptos"/>
          <w:sz w:val="19"/>
        </w:rPr>
        <w:t>Store source location, parser name, confidence, raw value, normalized value, and normalized-by rule for each extracted field.</w:t>
      </w:r>
    </w:p>
    <w:p>
      <w:pPr>
        <w:spacing w:after="80"/>
      </w:pPr>
      <w:r>
        <w:rPr>
          <w:rFonts w:ascii="Aptos" w:hAnsi="Aptos"/>
          <w:b/>
          <w:sz w:val="19"/>
        </w:rPr>
        <w:t xml:space="preserve">[High] Date handling is too permissive.: </w:t>
      </w:r>
      <w:r>
        <w:rPr>
          <w:rFonts w:ascii="Aptos" w:hAnsi="Aptos"/>
          <w:sz w:val="19"/>
        </w:rPr>
        <w:t>Store raw dates plus normalized dates, timezone assumptions, parse status, and ambiguity flags.</w:t>
      </w:r>
    </w:p>
    <w:p>
      <w:pPr>
        <w:spacing w:after="80"/>
      </w:pPr>
      <w:r>
        <w:rPr>
          <w:rFonts w:ascii="Aptos" w:hAnsi="Aptos"/>
          <w:b/>
          <w:sz w:val="19"/>
        </w:rPr>
        <w:t xml:space="preserve">[High] Device and building aliases are underdeveloped.: </w:t>
      </w:r>
      <w:r>
        <w:rPr>
          <w:rFonts w:ascii="Aptos" w:hAnsi="Aptos"/>
          <w:sz w:val="19"/>
        </w:rPr>
        <w:t>Build alias tables for building names, addresses, elevator banks, devices, and contractor names, with manual merge/split tools.</w:t>
      </w:r>
    </w:p>
    <w:p>
      <w:pPr>
        <w:spacing w:after="80"/>
      </w:pPr>
      <w:r>
        <w:rPr>
          <w:rFonts w:ascii="Aptos" w:hAnsi="Aptos"/>
          <w:b/>
          <w:sz w:val="19"/>
        </w:rPr>
        <w:t xml:space="preserve">[Medium] HTML sanitization and HTML parsing are not the same thing.: </w:t>
      </w:r>
      <w:r>
        <w:rPr>
          <w:rFonts w:ascii="Aptos" w:hAnsi="Aptos"/>
          <w:sz w:val="19"/>
        </w:rPr>
        <w:t>Use a proper HTML-to-structured-text pipeline so tables from email clients do not get flattened into mystery soup.</w:t>
      </w:r>
    </w:p>
    <w:p>
      <w:pPr>
        <w:spacing w:after="80"/>
      </w:pPr>
      <w:r>
        <w:rPr>
          <w:rFonts w:ascii="Aptos" w:hAnsi="Aptos"/>
          <w:b/>
          <w:sz w:val="19"/>
        </w:rPr>
        <w:t xml:space="preserve">[Medium] AI extraction lacks strict validation.: </w:t>
      </w:r>
      <w:r>
        <w:rPr>
          <w:rFonts w:ascii="Aptos" w:hAnsi="Aptos"/>
          <w:sz w:val="19"/>
        </w:rPr>
        <w:t>Validate AI JSON against a schema, reject unknown fields, normalize values, and require confidence plus evidence spans.</w:t>
      </w:r>
    </w:p>
    <w:p>
      <w:pPr>
        <w:spacing w:after="80"/>
      </w:pPr>
      <w:r>
        <w:rPr>
          <w:rFonts w:ascii="Aptos" w:hAnsi="Aptos"/>
          <w:b/>
          <w:sz w:val="19"/>
        </w:rPr>
        <w:t xml:space="preserve">[Medium] There is no parser learning loop.: </w:t>
      </w:r>
      <w:r>
        <w:rPr>
          <w:rFonts w:ascii="Aptos" w:hAnsi="Aptos"/>
          <w:sz w:val="19"/>
        </w:rPr>
        <w:t>Every manual correction should become a parser test candidate, alias update, or taxonomy rule change.</w:t>
      </w:r>
    </w:p>
    <w:p>
      <w:pPr>
        <w:pStyle w:val="Heading2"/>
      </w:pPr>
      <w:r>
        <w:rPr>
          <w:rFonts w:ascii="Aptos Display" w:hAnsi="Aptos Display"/>
          <w:color w:val="2F5496"/>
          <w:sz w:val="28"/>
        </w:rPr>
        <w:t>Grouping and deduplication</w:t>
      </w:r>
    </w:p>
    <w:p>
      <w:pPr>
        <w:spacing w:after="80"/>
      </w:pPr>
      <w:r>
        <w:rPr>
          <w:rFonts w:ascii="Aptos" w:hAnsi="Aptos"/>
          <w:b/>
          <w:sz w:val="19"/>
        </w:rPr>
        <w:t xml:space="preserve">[Blocker] Grouping keys are too simplistic for production.: </w:t>
      </w:r>
      <w:r>
        <w:rPr>
          <w:rFonts w:ascii="Aptos" w:hAnsi="Aptos"/>
          <w:sz w:val="19"/>
        </w:rPr>
        <w:t>Use case-type-specific grouping policies with required and optional components, time windows, source IDs, and collision detection.</w:t>
      </w:r>
    </w:p>
    <w:p>
      <w:pPr>
        <w:spacing w:after="80"/>
      </w:pPr>
      <w:r>
        <w:rPr>
          <w:rFonts w:ascii="Aptos" w:hAnsi="Aptos"/>
          <w:b/>
          <w:sz w:val="19"/>
        </w:rPr>
        <w:t xml:space="preserve">[High] Unknown or missing fields can cause bad grouping or review sprawl.: </w:t>
      </w:r>
      <w:r>
        <w:rPr>
          <w:rFonts w:ascii="Aptos" w:hAnsi="Aptos"/>
          <w:sz w:val="19"/>
        </w:rPr>
        <w:t>Create safe provisional grouping keys and merge tools. Avoid one-review-case-per-email when the emails obviously share a family.</w:t>
      </w:r>
    </w:p>
    <w:p>
      <w:pPr>
        <w:spacing w:after="80"/>
      </w:pPr>
      <w:r>
        <w:rPr>
          <w:rFonts w:ascii="Aptos" w:hAnsi="Aptos"/>
          <w:b/>
          <w:sz w:val="19"/>
        </w:rPr>
        <w:t xml:space="preserve">[High] No collision review exists.: </w:t>
      </w:r>
      <w:r>
        <w:rPr>
          <w:rFonts w:ascii="Aptos" w:hAnsi="Aptos"/>
          <w:sz w:val="19"/>
        </w:rPr>
        <w:t>Detect when one grouping key receives conflicting building, device, contractor, due date, or period values.</w:t>
      </w:r>
    </w:p>
    <w:p>
      <w:pPr>
        <w:spacing w:after="80"/>
      </w:pPr>
      <w:r>
        <w:rPr>
          <w:rFonts w:ascii="Aptos" w:hAnsi="Aptos"/>
          <w:b/>
          <w:sz w:val="19"/>
        </w:rPr>
        <w:t xml:space="preserve">[Medium] No split and merge workflow exists.: </w:t>
      </w:r>
      <w:r>
        <w:rPr>
          <w:rFonts w:ascii="Aptos" w:hAnsi="Aptos"/>
          <w:sz w:val="19"/>
        </w:rPr>
        <w:t>Add manual split, merge, and reassign actions with audit trails and downstream follow-up recalculation.</w:t>
      </w:r>
    </w:p>
    <w:p>
      <w:pPr>
        <w:spacing w:after="80"/>
      </w:pPr>
      <w:r>
        <w:rPr>
          <w:rFonts w:ascii="Aptos" w:hAnsi="Aptos"/>
          <w:b/>
          <w:sz w:val="19"/>
        </w:rPr>
        <w:t xml:space="preserve">[Medium] No thread-aware grouping policy exists.: </w:t>
      </w:r>
      <w:r>
        <w:rPr>
          <w:rFonts w:ascii="Aptos" w:hAnsi="Aptos"/>
          <w:sz w:val="19"/>
        </w:rPr>
        <w:t>Use message threading, reply references, and previous case IDs when available, but never let thread ID alone override business grouping rules.</w:t>
      </w:r>
    </w:p>
    <w:p>
      <w:pPr>
        <w:spacing w:after="80"/>
      </w:pPr>
      <w:r>
        <w:rPr>
          <w:rFonts w:ascii="Aptos" w:hAnsi="Aptos"/>
          <w:b/>
          <w:sz w:val="19"/>
        </w:rPr>
        <w:t xml:space="preserve">[Low] Grouping key normalization is minimal.: </w:t>
      </w:r>
      <w:r>
        <w:rPr>
          <w:rFonts w:ascii="Aptos" w:hAnsi="Aptos"/>
          <w:sz w:val="19"/>
        </w:rPr>
        <w:t>Normalize punctuation, addresses, device formats, bank labels, whitespace, and common abbreviations consistently.</w:t>
      </w:r>
    </w:p>
    <w:p>
      <w:pPr>
        <w:pStyle w:val="Heading2"/>
      </w:pPr>
      <w:r>
        <w:rPr>
          <w:rFonts w:ascii="Aptos Display" w:hAnsi="Aptos Display"/>
          <w:color w:val="2F5496"/>
          <w:sz w:val="28"/>
        </w:rPr>
        <w:t>Manual review and operations</w:t>
      </w:r>
    </w:p>
    <w:p>
      <w:pPr>
        <w:spacing w:after="80"/>
      </w:pPr>
      <w:r>
        <w:rPr>
          <w:rFonts w:ascii="Aptos" w:hAnsi="Aptos"/>
          <w:b/>
          <w:sz w:val="19"/>
        </w:rPr>
        <w:t xml:space="preserve">[Blocker] Manual review has no workflow design.: </w:t>
      </w:r>
      <w:r>
        <w:rPr>
          <w:rFonts w:ascii="Aptos" w:hAnsi="Aptos"/>
          <w:sz w:val="19"/>
        </w:rPr>
        <w:t>Create typed review queues: safety, extraction repair, unknown classifier, routing/contact, possible closure, duplicate/collision, and escalation.</w:t>
      </w:r>
    </w:p>
    <w:p>
      <w:pPr>
        <w:spacing w:after="80"/>
      </w:pPr>
      <w:r>
        <w:rPr>
          <w:rFonts w:ascii="Aptos" w:hAnsi="Aptos"/>
          <w:b/>
          <w:sz w:val="19"/>
        </w:rPr>
        <w:t xml:space="preserve">[Blocker] Review reasons are free-text.: </w:t>
      </w:r>
      <w:r>
        <w:rPr>
          <w:rFonts w:ascii="Aptos" w:hAnsi="Aptos"/>
          <w:sz w:val="19"/>
        </w:rPr>
        <w:t>Use stable reason codes plus display text so reporting can show why review volume is high.</w:t>
      </w:r>
    </w:p>
    <w:p>
      <w:pPr>
        <w:spacing w:after="80"/>
      </w:pPr>
      <w:r>
        <w:rPr>
          <w:rFonts w:ascii="Aptos" w:hAnsi="Aptos"/>
          <w:b/>
          <w:sz w:val="19"/>
        </w:rPr>
        <w:t xml:space="preserve">[High] Review items have no owner, due date, severity, or SLA.: </w:t>
      </w:r>
      <w:r>
        <w:rPr>
          <w:rFonts w:ascii="Aptos" w:hAnsi="Aptos"/>
          <w:sz w:val="19"/>
        </w:rPr>
        <w:t>Add owner, assigned_at, due_at, priority, queue, status, resolution, and resolution_note fields.</w:t>
      </w:r>
    </w:p>
    <w:p>
      <w:pPr>
        <w:spacing w:after="80"/>
      </w:pPr>
      <w:r>
        <w:rPr>
          <w:rFonts w:ascii="Aptos" w:hAnsi="Aptos"/>
          <w:b/>
          <w:sz w:val="19"/>
        </w:rPr>
        <w:t xml:space="preserve">[High] No feedback loop from review to automation.: </w:t>
      </w:r>
      <w:r>
        <w:rPr>
          <w:rFonts w:ascii="Aptos" w:hAnsi="Aptos"/>
          <w:sz w:val="19"/>
        </w:rPr>
        <w:t>Review resolution should update aliases, parser examples, policy rules, unsupported family ranking, and tests.</w:t>
      </w:r>
    </w:p>
    <w:p>
      <w:pPr>
        <w:spacing w:after="80"/>
      </w:pPr>
      <w:r>
        <w:rPr>
          <w:rFonts w:ascii="Aptos" w:hAnsi="Aptos"/>
          <w:b/>
          <w:sz w:val="19"/>
        </w:rPr>
        <w:t xml:space="preserve">[High] No bulk review actions exist.: </w:t>
      </w:r>
      <w:r>
        <w:rPr>
          <w:rFonts w:ascii="Aptos" w:hAnsi="Aptos"/>
          <w:sz w:val="19"/>
        </w:rPr>
        <w:t>Allow reviewers to resolve batches of similar unknowns, apply a parser rule, merge cases, or mark a sender as noise.</w:t>
      </w:r>
    </w:p>
    <w:p>
      <w:pPr>
        <w:spacing w:after="80"/>
      </w:pPr>
      <w:r>
        <w:rPr>
          <w:rFonts w:ascii="Aptos" w:hAnsi="Aptos"/>
          <w:b/>
          <w:sz w:val="19"/>
        </w:rPr>
        <w:t xml:space="preserve">[Medium] Review and case are tightly coupled.: </w:t>
      </w:r>
      <w:r>
        <w:rPr>
          <w:rFonts w:ascii="Aptos" w:hAnsi="Aptos"/>
          <w:sz w:val="19"/>
        </w:rPr>
        <w:t>A single case may need multiple review tasks. A single review task may apply to multiple emails or cases.</w:t>
      </w:r>
    </w:p>
    <w:p>
      <w:pPr>
        <w:spacing w:after="80"/>
      </w:pPr>
      <w:r>
        <w:rPr>
          <w:rFonts w:ascii="Aptos" w:hAnsi="Aptos"/>
          <w:b/>
          <w:sz w:val="19"/>
        </w:rPr>
        <w:t xml:space="preserve">[Medium] No review analytics are defined.: </w:t>
      </w:r>
      <w:r>
        <w:rPr>
          <w:rFonts w:ascii="Aptos" w:hAnsi="Aptos"/>
          <w:sz w:val="19"/>
        </w:rPr>
        <w:t>Track review rate by case type, sender, subject family, missing field, parser, AI status, and operator decision.</w:t>
      </w:r>
    </w:p>
    <w:p>
      <w:pPr>
        <w:pStyle w:val="Heading2"/>
      </w:pPr>
      <w:r>
        <w:rPr>
          <w:rFonts w:ascii="Aptos Display" w:hAnsi="Aptos Display"/>
          <w:color w:val="2F5496"/>
          <w:sz w:val="28"/>
        </w:rPr>
        <w:t>AI governance and cost control</w:t>
      </w:r>
    </w:p>
    <w:p>
      <w:pPr>
        <w:spacing w:after="80"/>
      </w:pPr>
      <w:r>
        <w:rPr>
          <w:rFonts w:ascii="Aptos" w:hAnsi="Aptos"/>
          <w:b/>
          <w:sz w:val="19"/>
        </w:rPr>
        <w:t xml:space="preserve">[High] AI usage is budgeted but not quality-governed.: </w:t>
      </w:r>
      <w:r>
        <w:rPr>
          <w:rFonts w:ascii="Aptos" w:hAnsi="Aptos"/>
          <w:sz w:val="19"/>
        </w:rPr>
        <w:t>Add prompt versioning, schema validation, output validators, human correction sampling, and evaluation sets.</w:t>
      </w:r>
    </w:p>
    <w:p>
      <w:pPr>
        <w:spacing w:after="80"/>
      </w:pPr>
      <w:r>
        <w:rPr>
          <w:rFonts w:ascii="Aptos" w:hAnsi="Aptos"/>
          <w:b/>
          <w:sz w:val="19"/>
        </w:rPr>
        <w:t xml:space="preserve">[High] Token estimates are approximate.: </w:t>
      </w:r>
      <w:r>
        <w:rPr>
          <w:rFonts w:ascii="Aptos" w:hAnsi="Aptos"/>
          <w:sz w:val="19"/>
        </w:rPr>
        <w:t>Use model-specific token counting or at least label the current counts as estimates in all reports.</w:t>
      </w:r>
    </w:p>
    <w:p>
      <w:pPr>
        <w:spacing w:after="80"/>
      </w:pPr>
      <w:r>
        <w:rPr>
          <w:rFonts w:ascii="Aptos" w:hAnsi="Aptos"/>
          <w:b/>
          <w:sz w:val="19"/>
        </w:rPr>
        <w:t xml:space="preserve">[High] Cache does not solve correctness.: </w:t>
      </w:r>
      <w:r>
        <w:rPr>
          <w:rFonts w:ascii="Aptos" w:hAnsi="Aptos"/>
          <w:sz w:val="19"/>
        </w:rPr>
        <w:t>Include prompt version, policy version, parser version, and source signature in cache keys, then expire cache entries when logic changes.</w:t>
      </w:r>
    </w:p>
    <w:p>
      <w:pPr>
        <w:spacing w:after="80"/>
      </w:pPr>
      <w:r>
        <w:rPr>
          <w:rFonts w:ascii="Aptos" w:hAnsi="Aptos"/>
          <w:b/>
          <w:sz w:val="19"/>
        </w:rPr>
        <w:t xml:space="preserve">[High] AI fallback could become a crutch.: </w:t>
      </w:r>
      <w:r>
        <w:rPr>
          <w:rFonts w:ascii="Aptos" w:hAnsi="Aptos"/>
          <w:sz w:val="19"/>
        </w:rPr>
        <w:t>Use AI only for bounded missing-field repair, classification proposals, and summary drafting, not as the main workflow engine.</w:t>
      </w:r>
    </w:p>
    <w:p>
      <w:pPr>
        <w:spacing w:after="80"/>
      </w:pPr>
      <w:r>
        <w:rPr>
          <w:rFonts w:ascii="Aptos" w:hAnsi="Aptos"/>
          <w:b/>
          <w:sz w:val="19"/>
        </w:rPr>
        <w:t xml:space="preserve">[Medium] No model output confidence calibration exists.: </w:t>
      </w:r>
      <w:r>
        <w:rPr>
          <w:rFonts w:ascii="Aptos" w:hAnsi="Aptos"/>
          <w:sz w:val="19"/>
        </w:rPr>
        <w:t>Measure AI extractions against corrected fields and maintain per-field reliability metrics.</w:t>
      </w:r>
    </w:p>
    <w:p>
      <w:pPr>
        <w:spacing w:after="80"/>
      </w:pPr>
      <w:r>
        <w:rPr>
          <w:rFonts w:ascii="Aptos" w:hAnsi="Aptos"/>
          <w:b/>
          <w:sz w:val="19"/>
        </w:rPr>
        <w:t xml:space="preserve">[Medium] The gateway has a duplicated model_name entry in the report payload.: </w:t>
      </w:r>
      <w:r>
        <w:rPr>
          <w:rFonts w:ascii="Aptos" w:hAnsi="Aptos"/>
          <w:sz w:val="19"/>
        </w:rPr>
        <w:t>Clean small report bugs now because they undermine trust in audit output later.</w:t>
      </w:r>
    </w:p>
    <w:p>
      <w:pPr>
        <w:spacing w:after="80"/>
      </w:pPr>
      <w:r>
        <w:rPr>
          <w:rFonts w:ascii="Aptos" w:hAnsi="Aptos"/>
          <w:b/>
          <w:sz w:val="19"/>
        </w:rPr>
        <w:t xml:space="preserve">[Medium] Atexit reporting is fragile.: </w:t>
      </w:r>
      <w:r>
        <w:rPr>
          <w:rFonts w:ascii="Aptos" w:hAnsi="Aptos"/>
          <w:sz w:val="19"/>
        </w:rPr>
        <w:t>Write usage reports incrementally or at job completion, not only on process exit.</w:t>
      </w:r>
    </w:p>
    <w:p>
      <w:pPr>
        <w:pStyle w:val="Heading2"/>
      </w:pPr>
      <w:r>
        <w:rPr>
          <w:rFonts w:ascii="Aptos Display" w:hAnsi="Aptos Display"/>
          <w:color w:val="2F5496"/>
          <w:sz w:val="28"/>
        </w:rPr>
        <w:t>Security and privacy</w:t>
      </w:r>
    </w:p>
    <w:p>
      <w:pPr>
        <w:spacing w:after="80"/>
      </w:pPr>
      <w:r>
        <w:rPr>
          <w:rFonts w:ascii="Aptos" w:hAnsi="Aptos"/>
          <w:b/>
          <w:sz w:val="19"/>
        </w:rPr>
        <w:t xml:space="preserve">[Blocker] Email content is sensitive operational data.: </w:t>
      </w:r>
      <w:r>
        <w:rPr>
          <w:rFonts w:ascii="Aptos" w:hAnsi="Aptos"/>
          <w:sz w:val="19"/>
        </w:rPr>
        <w:t>Define retention, redaction, access control, export control, and deletion policies for raw_body, normalized_text, outbound bodies, and AI prompts.</w:t>
      </w:r>
    </w:p>
    <w:p>
      <w:pPr>
        <w:spacing w:after="80"/>
      </w:pPr>
      <w:r>
        <w:rPr>
          <w:rFonts w:ascii="Aptos" w:hAnsi="Aptos"/>
          <w:b/>
          <w:sz w:val="19"/>
        </w:rPr>
        <w:t xml:space="preserve">[High] Prompt-injection detection is regex-only.: </w:t>
      </w:r>
      <w:r>
        <w:rPr>
          <w:rFonts w:ascii="Aptos" w:hAnsi="Aptos"/>
          <w:sz w:val="19"/>
        </w:rPr>
        <w:t>Layer defenses: content isolation, schema-only outputs, allowlisted actions, outbound scanners, suspicious phrase review, and no direct tool execution from email text.</w:t>
      </w:r>
    </w:p>
    <w:p>
      <w:pPr>
        <w:spacing w:after="80"/>
      </w:pPr>
      <w:r>
        <w:rPr>
          <w:rFonts w:ascii="Aptos" w:hAnsi="Aptos"/>
          <w:b/>
          <w:sz w:val="19"/>
        </w:rPr>
        <w:t xml:space="preserve">[High] No secrets-management plan exists.: </w:t>
      </w:r>
      <w:r>
        <w:rPr>
          <w:rFonts w:ascii="Aptos" w:hAnsi="Aptos"/>
          <w:sz w:val="19"/>
        </w:rPr>
        <w:t>Move beyond local .env for production. Use a secrets manager, rotation, and least-privilege credentials.</w:t>
      </w:r>
    </w:p>
    <w:p>
      <w:pPr>
        <w:spacing w:after="80"/>
      </w:pPr>
      <w:r>
        <w:rPr>
          <w:rFonts w:ascii="Aptos" w:hAnsi="Aptos"/>
          <w:b/>
          <w:sz w:val="19"/>
        </w:rPr>
        <w:t xml:space="preserve">[High] No audit user identity exists.: </w:t>
      </w:r>
      <w:r>
        <w:rPr>
          <w:rFonts w:ascii="Aptos" w:hAnsi="Aptos"/>
          <w:sz w:val="19"/>
        </w:rPr>
        <w:t>Every manual review action, case edit, send, closure, merge, and policy override should store the user and timestamp.</w:t>
      </w:r>
    </w:p>
    <w:p>
      <w:pPr>
        <w:spacing w:after="80"/>
      </w:pPr>
      <w:r>
        <w:rPr>
          <w:rFonts w:ascii="Aptos" w:hAnsi="Aptos"/>
          <w:b/>
          <w:sz w:val="19"/>
        </w:rPr>
        <w:t xml:space="preserve">[Medium] No attachment policy is visible.: </w:t>
      </w:r>
      <w:r>
        <w:rPr>
          <w:rFonts w:ascii="Aptos" w:hAnsi="Aptos"/>
          <w:sz w:val="19"/>
        </w:rPr>
        <w:t>Define whether attachments are ignored, stored, scanned, parsed, or blocked. Do not let attachments quietly disappear if they matter.</w:t>
      </w:r>
    </w:p>
    <w:p>
      <w:pPr>
        <w:spacing w:after="80"/>
      </w:pPr>
      <w:r>
        <w:rPr>
          <w:rFonts w:ascii="Aptos" w:hAnsi="Aptos"/>
          <w:b/>
          <w:sz w:val="19"/>
        </w:rPr>
        <w:t xml:space="preserve">[Medium] No outbound content safety pass exists.: </w:t>
      </w:r>
      <w:r>
        <w:rPr>
          <w:rFonts w:ascii="Aptos" w:hAnsi="Aptos"/>
          <w:sz w:val="19"/>
        </w:rPr>
        <w:t>Before send, validate recipients, subject prefix, body content, confidential data, missing case ID, and policy-approved action language.</w:t>
      </w:r>
    </w:p>
    <w:p>
      <w:pPr>
        <w:spacing w:after="80"/>
      </w:pPr>
      <w:r>
        <w:rPr>
          <w:rFonts w:ascii="Aptos" w:hAnsi="Aptos"/>
          <w:b/>
          <w:sz w:val="19"/>
        </w:rPr>
        <w:t xml:space="preserve">[Medium] No phishing/spoofing checks are modeled.: </w:t>
      </w:r>
      <w:r>
        <w:rPr>
          <w:rFonts w:ascii="Aptos" w:hAnsi="Aptos"/>
          <w:sz w:val="19"/>
        </w:rPr>
        <w:t>Use SPF/DKIM/DMARC results if available, sender allowlists, domain checks, and suspicious link detection.</w:t>
      </w:r>
    </w:p>
    <w:p>
      <w:pPr>
        <w:pStyle w:val="Heading2"/>
      </w:pPr>
      <w:r>
        <w:rPr>
          <w:rFonts w:ascii="Aptos Display" w:hAnsi="Aptos Display"/>
          <w:color w:val="2F5496"/>
          <w:sz w:val="28"/>
        </w:rPr>
        <w:t>Database and data model</w:t>
      </w:r>
    </w:p>
    <w:p>
      <w:pPr>
        <w:spacing w:after="80"/>
      </w:pPr>
      <w:r>
        <w:rPr>
          <w:rFonts w:ascii="Aptos" w:hAnsi="Aptos"/>
          <w:b/>
          <w:sz w:val="19"/>
        </w:rPr>
        <w:t xml:space="preserve">[Blocker] SQLite is not the production database.: </w:t>
      </w:r>
      <w:r>
        <w:rPr>
          <w:rFonts w:ascii="Aptos" w:hAnsi="Aptos"/>
          <w:sz w:val="19"/>
        </w:rPr>
        <w:t>Move to Postgres for multi-user, multi-worker, auditable operations. Keep SQLite for local demos and tests.</w:t>
      </w:r>
    </w:p>
    <w:p>
      <w:pPr>
        <w:spacing w:after="80"/>
      </w:pPr>
      <w:r>
        <w:rPr>
          <w:rFonts w:ascii="Aptos" w:hAnsi="Aptos"/>
          <w:b/>
          <w:sz w:val="19"/>
        </w:rPr>
        <w:t xml:space="preserve">[Blocker] No schema migrations.: </w:t>
      </w:r>
      <w:r>
        <w:rPr>
          <w:rFonts w:ascii="Aptos" w:hAnsi="Aptos"/>
          <w:sz w:val="19"/>
        </w:rPr>
        <w:t>Add Alembic or an equivalent migration system, plus migration tests and rollback notes.</w:t>
      </w:r>
    </w:p>
    <w:p>
      <w:pPr>
        <w:spacing w:after="80"/>
      </w:pPr>
      <w:r>
        <w:rPr>
          <w:rFonts w:ascii="Aptos" w:hAnsi="Aptos"/>
          <w:b/>
          <w:sz w:val="19"/>
        </w:rPr>
        <w:t xml:space="preserve">[High] The case table is too thin.: </w:t>
      </w:r>
      <w:r>
        <w:rPr>
          <w:rFonts w:ascii="Aptos" w:hAnsi="Aptos"/>
          <w:sz w:val="19"/>
        </w:rPr>
        <w:t>Add policy_version, source_system, external_refs, SLA fields, routing state, closure evidence, and display title.</w:t>
      </w:r>
    </w:p>
    <w:p>
      <w:pPr>
        <w:spacing w:after="80"/>
      </w:pPr>
      <w:r>
        <w:rPr>
          <w:rFonts w:ascii="Aptos" w:hAnsi="Aptos"/>
          <w:b/>
          <w:sz w:val="19"/>
        </w:rPr>
        <w:t xml:space="preserve">[High] Extracted fields are not constrained enough.: </w:t>
      </w:r>
      <w:r>
        <w:rPr>
          <w:rFonts w:ascii="Aptos" w:hAnsi="Aptos"/>
          <w:sz w:val="19"/>
        </w:rPr>
        <w:t>Add uniqueness policies, field provenance, normalized/raw values, parser version, and corrected_by user fields.</w:t>
      </w:r>
    </w:p>
    <w:p>
      <w:pPr>
        <w:spacing w:after="80"/>
      </w:pPr>
      <w:r>
        <w:rPr>
          <w:rFonts w:ascii="Aptos" w:hAnsi="Aptos"/>
          <w:b/>
          <w:sz w:val="19"/>
        </w:rPr>
        <w:t xml:space="preserve">[High] Outbound_messages does not fully model delivery.: </w:t>
      </w:r>
      <w:r>
        <w:rPr>
          <w:rFonts w:ascii="Aptos" w:hAnsi="Aptos"/>
          <w:sz w:val="19"/>
        </w:rPr>
        <w:t>Add attempts, provider response, error code, bounce tracking, retry policy, sent_by, approved_by, and recipient validation state.</w:t>
      </w:r>
    </w:p>
    <w:p>
      <w:pPr>
        <w:spacing w:after="80"/>
      </w:pPr>
      <w:r>
        <w:rPr>
          <w:rFonts w:ascii="Aptos" w:hAnsi="Aptos"/>
          <w:b/>
          <w:sz w:val="19"/>
        </w:rPr>
        <w:t xml:space="preserve">[Medium] No data lifecycle management.: </w:t>
      </w:r>
      <w:r>
        <w:rPr>
          <w:rFonts w:ascii="Aptos" w:hAnsi="Aptos"/>
          <w:sz w:val="19"/>
        </w:rPr>
        <w:t>Define archiving, retention windows, PII scrubbing, and export formats.</w:t>
      </w:r>
    </w:p>
    <w:p>
      <w:pPr>
        <w:spacing w:after="80"/>
      </w:pPr>
      <w:r>
        <w:rPr>
          <w:rFonts w:ascii="Aptos" w:hAnsi="Aptos"/>
          <w:b/>
          <w:sz w:val="19"/>
        </w:rPr>
        <w:t xml:space="preserve">[Medium] No idempotent ingestion guarantee across sources.: </w:t>
      </w:r>
      <w:r>
        <w:rPr>
          <w:rFonts w:ascii="Aptos" w:hAnsi="Aptos"/>
          <w:sz w:val="19"/>
        </w:rPr>
        <w:t>Use stable message fingerprints, source mailbox IDs, and import batch IDs to prevent duplicate historical and live imports.</w:t>
      </w:r>
    </w:p>
    <w:p>
      <w:pPr>
        <w:pStyle w:val="Heading2"/>
      </w:pPr>
      <w:r>
        <w:rPr>
          <w:rFonts w:ascii="Aptos Display" w:hAnsi="Aptos Display"/>
          <w:color w:val="2F5496"/>
          <w:sz w:val="28"/>
        </w:rPr>
        <w:t>Backlog mode</w:t>
      </w:r>
    </w:p>
    <w:p>
      <w:pPr>
        <w:spacing w:after="80"/>
      </w:pPr>
      <w:r>
        <w:rPr>
          <w:rFonts w:ascii="Aptos" w:hAnsi="Aptos"/>
          <w:b/>
          <w:sz w:val="19"/>
        </w:rPr>
        <w:t xml:space="preserve">[High] JSON-only source support is too narrow.: </w:t>
      </w:r>
      <w:r>
        <w:rPr>
          <w:rFonts w:ascii="Aptos" w:hAnsi="Aptos"/>
          <w:sz w:val="19"/>
        </w:rPr>
        <w:t>Add first-class EML/MBOX support and a tested PST conversion pipeline that preserves headers, body, dates, and recipients.</w:t>
      </w:r>
    </w:p>
    <w:p>
      <w:pPr>
        <w:spacing w:after="80"/>
      </w:pPr>
      <w:r>
        <w:rPr>
          <w:rFonts w:ascii="Aptos" w:hAnsi="Aptos"/>
          <w:b/>
          <w:sz w:val="19"/>
        </w:rPr>
        <w:t xml:space="preserve">[High] Backlog mode rejects too much instead of learning.: </w:t>
      </w:r>
      <w:r>
        <w:rPr>
          <w:rFonts w:ascii="Aptos" w:hAnsi="Aptos"/>
          <w:sz w:val="19"/>
        </w:rPr>
        <w:t>Every rejected or review item should be categorized into actionable buckets: new parser, alias needed, non-KPI, unsupported KPI, extraction gap, malformed email.</w:t>
      </w:r>
    </w:p>
    <w:p>
      <w:pPr>
        <w:spacing w:after="80"/>
      </w:pPr>
      <w:r>
        <w:rPr>
          <w:rFonts w:ascii="Aptos" w:hAnsi="Aptos"/>
          <w:b/>
          <w:sz w:val="19"/>
        </w:rPr>
        <w:t xml:space="preserve">[High] No staged commit workflow.: </w:t>
      </w:r>
      <w:r>
        <w:rPr>
          <w:rFonts w:ascii="Aptos" w:hAnsi="Aptos"/>
          <w:sz w:val="19"/>
        </w:rPr>
        <w:t>Support import batches where users review acceptance plans, edit mappings, then commit with a batch ID and rollback option.</w:t>
      </w:r>
    </w:p>
    <w:p>
      <w:pPr>
        <w:spacing w:after="80"/>
      </w:pPr>
      <w:r>
        <w:rPr>
          <w:rFonts w:ascii="Aptos" w:hAnsi="Aptos"/>
          <w:b/>
          <w:sz w:val="19"/>
        </w:rPr>
        <w:t xml:space="preserve">[Medium] Body signature validation may be too strict.: </w:t>
      </w:r>
      <w:r>
        <w:rPr>
          <w:rFonts w:ascii="Aptos" w:hAnsi="Aptos"/>
          <w:sz w:val="19"/>
        </w:rPr>
        <w:t>Track near-matches and template drift so the system can adapt to real alert format changes.</w:t>
      </w:r>
    </w:p>
    <w:p>
      <w:pPr>
        <w:spacing w:after="80"/>
      </w:pPr>
      <w:r>
        <w:rPr>
          <w:rFonts w:ascii="Aptos" w:hAnsi="Aptos"/>
          <w:b/>
          <w:sz w:val="19"/>
        </w:rPr>
        <w:t xml:space="preserve">[Medium] Historical data should build memory carefully.: </w:t>
      </w:r>
      <w:r>
        <w:rPr>
          <w:rFonts w:ascii="Aptos" w:hAnsi="Aptos"/>
          <w:sz w:val="19"/>
        </w:rPr>
        <w:t>Mark imported observations as historical and prevent old unresolved items from triggering current escalations without a cutoff policy.</w:t>
      </w:r>
    </w:p>
    <w:p>
      <w:pPr>
        <w:spacing w:after="80"/>
      </w:pPr>
      <w:r>
        <w:rPr>
          <w:rFonts w:ascii="Aptos" w:hAnsi="Aptos"/>
          <w:b/>
          <w:sz w:val="19"/>
        </w:rPr>
        <w:t xml:space="preserve">[Medium] Reports need actionability.: </w:t>
      </w:r>
      <w:r>
        <w:rPr>
          <w:rFonts w:ascii="Aptos" w:hAnsi="Aptos"/>
          <w:sz w:val="19"/>
        </w:rPr>
        <w:t>Add next recommended parser rules, top unknown families, top missing fields, and estimated review-hours saved by each fix.</w:t>
      </w:r>
    </w:p>
    <w:p>
      <w:pPr>
        <w:pStyle w:val="Heading2"/>
      </w:pPr>
      <w:r>
        <w:rPr>
          <w:rFonts w:ascii="Aptos Display" w:hAnsi="Aptos Display"/>
          <w:color w:val="2F5496"/>
          <w:sz w:val="28"/>
        </w:rPr>
        <w:t>Follow-ups and escalation</w:t>
      </w:r>
    </w:p>
    <w:p>
      <w:pPr>
        <w:spacing w:after="80"/>
      </w:pPr>
      <w:r>
        <w:rPr>
          <w:rFonts w:ascii="Aptos" w:hAnsi="Aptos"/>
          <w:b/>
          <w:sz w:val="19"/>
        </w:rPr>
        <w:t xml:space="preserve">[Blocker] Follow-up policy is hard-coded.: </w:t>
      </w:r>
      <w:r>
        <w:rPr>
          <w:rFonts w:ascii="Aptos" w:hAnsi="Aptos"/>
          <w:sz w:val="19"/>
        </w:rPr>
        <w:t>Move thresholds, deadlines, recipient stages, escalation timing, and stop conditions into case policy.</w:t>
      </w:r>
    </w:p>
    <w:p>
      <w:pPr>
        <w:spacing w:after="80"/>
      </w:pPr>
      <w:r>
        <w:rPr>
          <w:rFonts w:ascii="Aptos" w:hAnsi="Aptos"/>
          <w:b/>
          <w:sz w:val="19"/>
        </w:rPr>
        <w:t xml:space="preserve">[High] Five business days is approximated as seven calendar days.: </w:t>
      </w:r>
      <w:r>
        <w:rPr>
          <w:rFonts w:ascii="Aptos" w:hAnsi="Aptos"/>
          <w:sz w:val="19"/>
        </w:rPr>
        <w:t>Use a business-calendar library with holidays, region, client calendar, and after-hours behavior.</w:t>
      </w:r>
    </w:p>
    <w:p>
      <w:pPr>
        <w:spacing w:after="80"/>
      </w:pPr>
      <w:r>
        <w:rPr>
          <w:rFonts w:ascii="Aptos" w:hAnsi="Aptos"/>
          <w:b/>
          <w:sz w:val="19"/>
        </w:rPr>
        <w:t xml:space="preserve">[High] Escalation recipient logic is not real.: </w:t>
      </w:r>
      <w:r>
        <w:rPr>
          <w:rFonts w:ascii="Aptos" w:hAnsi="Aptos"/>
          <w:sz w:val="19"/>
        </w:rPr>
        <w:t>Model contractor contacts, client contacts, senior Solucore contacts, site-specific contacts, and notification preferences.</w:t>
      </w:r>
    </w:p>
    <w:p>
      <w:pPr>
        <w:spacing w:after="80"/>
      </w:pPr>
      <w:r>
        <w:rPr>
          <w:rFonts w:ascii="Aptos" w:hAnsi="Aptos"/>
          <w:b/>
          <w:sz w:val="19"/>
        </w:rPr>
        <w:t xml:space="preserve">[High] Follow-up actions do not know response obligations.: </w:t>
      </w:r>
      <w:r>
        <w:rPr>
          <w:rFonts w:ascii="Aptos" w:hAnsi="Aptos"/>
          <w:sz w:val="19"/>
        </w:rPr>
        <w:t>Track what response is required and what counts as satisfying it by case type.</w:t>
      </w:r>
    </w:p>
    <w:p>
      <w:pPr>
        <w:spacing w:after="80"/>
      </w:pPr>
      <w:r>
        <w:rPr>
          <w:rFonts w:ascii="Aptos" w:hAnsi="Aptos"/>
          <w:b/>
          <w:sz w:val="19"/>
        </w:rPr>
        <w:t xml:space="preserve">[Medium] Follow-up text is generic.: </w:t>
      </w:r>
      <w:r>
        <w:rPr>
          <w:rFonts w:ascii="Aptos" w:hAnsi="Aptos"/>
          <w:sz w:val="19"/>
        </w:rPr>
        <w:t>Draft by case type, stage, past replies, known blockers, and client visibility rules.</w:t>
      </w:r>
    </w:p>
    <w:p>
      <w:pPr>
        <w:spacing w:after="80"/>
      </w:pPr>
      <w:r>
        <w:rPr>
          <w:rFonts w:ascii="Aptos" w:hAnsi="Aptos"/>
          <w:b/>
          <w:sz w:val="19"/>
        </w:rPr>
        <w:t xml:space="preserve">[Medium] No pause/snooze/state controls.: </w:t>
      </w:r>
      <w:r>
        <w:rPr>
          <w:rFonts w:ascii="Aptos" w:hAnsi="Aptos"/>
          <w:sz w:val="19"/>
        </w:rPr>
        <w:t>Add pause follow-ups, waiting on client, access issue, scheduled work, contractor acknowledged, and extension granted states.</w:t>
      </w:r>
    </w:p>
    <w:p>
      <w:pPr>
        <w:pStyle w:val="Heading2"/>
      </w:pPr>
      <w:r>
        <w:rPr>
          <w:rFonts w:ascii="Aptos Display" w:hAnsi="Aptos Display"/>
          <w:color w:val="2F5496"/>
          <w:sz w:val="28"/>
        </w:rPr>
        <w:t>Reply handling and closure</w:t>
      </w:r>
    </w:p>
    <w:p>
      <w:pPr>
        <w:spacing w:after="80"/>
      </w:pPr>
      <w:r>
        <w:rPr>
          <w:rFonts w:ascii="Aptos" w:hAnsi="Aptos"/>
          <w:b/>
          <w:sz w:val="19"/>
        </w:rPr>
        <w:t xml:space="preserve">[High] Reply input is manual-paste oriented.: </w:t>
      </w:r>
      <w:r>
        <w:rPr>
          <w:rFonts w:ascii="Aptos" w:hAnsi="Aptos"/>
          <w:sz w:val="19"/>
        </w:rPr>
        <w:t>Thread incoming replies automatically to cases using headers, references, case ID tokens, and fuzzy subject matching.</w:t>
      </w:r>
    </w:p>
    <w:p>
      <w:pPr>
        <w:spacing w:after="80"/>
      </w:pPr>
      <w:r>
        <w:rPr>
          <w:rFonts w:ascii="Aptos" w:hAnsi="Aptos"/>
          <w:b/>
          <w:sz w:val="19"/>
        </w:rPr>
        <w:t xml:space="preserve">[High] Reply analysis is shallow.: </w:t>
      </w:r>
      <w:r>
        <w:rPr>
          <w:rFonts w:ascii="Aptos" w:hAnsi="Aptos"/>
          <w:sz w:val="19"/>
        </w:rPr>
        <w:t>Distinguish acknowledgement, scheduled, completed, rejected, access blocked, needs client action, extension requested, evidence attached, and unrelated reply.</w:t>
      </w:r>
    </w:p>
    <w:p>
      <w:pPr>
        <w:spacing w:after="80"/>
      </w:pPr>
      <w:r>
        <w:rPr>
          <w:rFonts w:ascii="Aptos" w:hAnsi="Aptos"/>
          <w:b/>
          <w:sz w:val="19"/>
        </w:rPr>
        <w:t xml:space="preserve">[High] Closure evidence is not modeled.: </w:t>
      </w:r>
      <w:r>
        <w:rPr>
          <w:rFonts w:ascii="Aptos" w:hAnsi="Aptos"/>
          <w:sz w:val="19"/>
        </w:rPr>
        <w:t>Require case-type-specific evidence before presenting a closure recommendation.</w:t>
      </w:r>
    </w:p>
    <w:p>
      <w:pPr>
        <w:spacing w:after="80"/>
      </w:pPr>
      <w:r>
        <w:rPr>
          <w:rFonts w:ascii="Aptos" w:hAnsi="Aptos"/>
          <w:b/>
          <w:sz w:val="19"/>
        </w:rPr>
        <w:t xml:space="preserve">[Medium] No contradiction detection.: </w:t>
      </w:r>
      <w:r>
        <w:rPr>
          <w:rFonts w:ascii="Aptos" w:hAnsi="Aptos"/>
          <w:sz w:val="19"/>
        </w:rPr>
        <w:t>Detect when a reply says completed but the KPI continues firing or another email contradicts the statement.</w:t>
      </w:r>
    </w:p>
    <w:p>
      <w:pPr>
        <w:spacing w:after="80"/>
      </w:pPr>
      <w:r>
        <w:rPr>
          <w:rFonts w:ascii="Aptos" w:hAnsi="Aptos"/>
          <w:b/>
          <w:sz w:val="19"/>
        </w:rPr>
        <w:t xml:space="preserve">[Medium] No structured reply extraction.: </w:t>
      </w:r>
      <w:r>
        <w:rPr>
          <w:rFonts w:ascii="Aptos" w:hAnsi="Aptos"/>
          <w:sz w:val="19"/>
        </w:rPr>
        <w:t>Extract promised dates, responsible party, reason for delay, attachments mentioned, and next action.</w:t>
      </w:r>
    </w:p>
    <w:p>
      <w:pPr>
        <w:spacing w:after="80"/>
      </w:pPr>
      <w:r>
        <w:rPr>
          <w:rFonts w:ascii="Aptos" w:hAnsi="Aptos"/>
          <w:b/>
          <w:sz w:val="19"/>
        </w:rPr>
        <w:t xml:space="preserve">[Low] No reply SLA analytics.: </w:t>
      </w:r>
      <w:r>
        <w:rPr>
          <w:rFonts w:ascii="Aptos" w:hAnsi="Aptos"/>
          <w:sz w:val="19"/>
        </w:rPr>
        <w:t>Track response time, resolution time, reopen rate, and contractor/client performance.</w:t>
      </w:r>
    </w:p>
    <w:p>
      <w:pPr>
        <w:pStyle w:val="Heading2"/>
      </w:pPr>
      <w:r>
        <w:rPr>
          <w:rFonts w:ascii="Aptos Display" w:hAnsi="Aptos Display"/>
          <w:color w:val="2F5496"/>
          <w:sz w:val="28"/>
        </w:rPr>
        <w:t>Outbound messaging and contacts</w:t>
      </w:r>
    </w:p>
    <w:p>
      <w:pPr>
        <w:spacing w:after="80"/>
      </w:pPr>
      <w:r>
        <w:rPr>
          <w:rFonts w:ascii="Aptos" w:hAnsi="Aptos"/>
          <w:b/>
          <w:sz w:val="19"/>
        </w:rPr>
        <w:t xml:space="preserve">[Blocker] Production recipient resolution is missing.: </w:t>
      </w:r>
      <w:r>
        <w:rPr>
          <w:rFonts w:ascii="Aptos" w:hAnsi="Aptos"/>
          <w:sz w:val="19"/>
        </w:rPr>
        <w:t>Build a contact registry with building, contractor, client, role, email, CC rules, escalation level, active dates, and override history.</w:t>
      </w:r>
    </w:p>
    <w:p>
      <w:pPr>
        <w:spacing w:after="80"/>
      </w:pPr>
      <w:r>
        <w:rPr>
          <w:rFonts w:ascii="Aptos" w:hAnsi="Aptos"/>
          <w:b/>
          <w:sz w:val="19"/>
        </w:rPr>
        <w:t xml:space="preserve">[High] Outbound templates are too generic.: </w:t>
      </w:r>
      <w:r>
        <w:rPr>
          <w:rFonts w:ascii="Aptos" w:hAnsi="Aptos"/>
          <w:sz w:val="19"/>
        </w:rPr>
        <w:t>Create case-type and escalation-stage templates with required facts, approved language, and tone controls.</w:t>
      </w:r>
    </w:p>
    <w:p>
      <w:pPr>
        <w:spacing w:after="80"/>
      </w:pPr>
      <w:r>
        <w:rPr>
          <w:rFonts w:ascii="Aptos" w:hAnsi="Aptos"/>
          <w:b/>
          <w:sz w:val="19"/>
        </w:rPr>
        <w:t xml:space="preserve">[High] Auto-send behavior must be policy-gated.: </w:t>
      </w:r>
      <w:r>
        <w:rPr>
          <w:rFonts w:ascii="Aptos" w:hAnsi="Aptos"/>
          <w:sz w:val="19"/>
        </w:rPr>
        <w:t>Require approval rules, allowed recipients, safety scans, and environment checks before anything can send automatically.</w:t>
      </w:r>
    </w:p>
    <w:p>
      <w:pPr>
        <w:spacing w:after="80"/>
      </w:pPr>
      <w:r>
        <w:rPr>
          <w:rFonts w:ascii="Aptos" w:hAnsi="Aptos"/>
          <w:b/>
          <w:sz w:val="19"/>
        </w:rPr>
        <w:t xml:space="preserve">[High] No unsubscribe, suppression, or duplicate-send control beyond follow-up idempotency.: </w:t>
      </w:r>
      <w:r>
        <w:rPr>
          <w:rFonts w:ascii="Aptos" w:hAnsi="Aptos"/>
          <w:sz w:val="19"/>
        </w:rPr>
        <w:t>Prevent repeated near-identical messages and suppress sends when a case is paused, closed, merged, or awaiting human review.</w:t>
      </w:r>
    </w:p>
    <w:p>
      <w:pPr>
        <w:spacing w:after="80"/>
      </w:pPr>
      <w:r>
        <w:rPr>
          <w:rFonts w:ascii="Aptos" w:hAnsi="Aptos"/>
          <w:b/>
          <w:sz w:val="19"/>
        </w:rPr>
        <w:t xml:space="preserve">[Medium] No client visibility model.: </w:t>
      </w:r>
      <w:r>
        <w:rPr>
          <w:rFonts w:ascii="Aptos" w:hAnsi="Aptos"/>
          <w:sz w:val="19"/>
        </w:rPr>
        <w:t>Ray's rule that aggregated KPI items loop in the client should be represented as policy, not tribal knowledge.</w:t>
      </w:r>
    </w:p>
    <w:p>
      <w:pPr>
        <w:spacing w:after="80"/>
      </w:pPr>
      <w:r>
        <w:rPr>
          <w:rFonts w:ascii="Aptos" w:hAnsi="Aptos"/>
          <w:b/>
          <w:sz w:val="19"/>
        </w:rPr>
        <w:t xml:space="preserve">[Medium] No email threading support for outbound.: </w:t>
      </w:r>
      <w:r>
        <w:rPr>
          <w:rFonts w:ascii="Aptos" w:hAnsi="Aptos"/>
          <w:sz w:val="19"/>
        </w:rPr>
        <w:t>Use In-Reply-To, References, and stable subject tokens to keep case communications together.</w:t>
      </w:r>
    </w:p>
    <w:p>
      <w:pPr>
        <w:pStyle w:val="Heading2"/>
      </w:pPr>
      <w:r>
        <w:rPr>
          <w:rFonts w:ascii="Aptos Display" w:hAnsi="Aptos Display"/>
          <w:color w:val="2F5496"/>
          <w:sz w:val="28"/>
        </w:rPr>
        <w:t>Memory and pattern intelligence</w:t>
      </w:r>
    </w:p>
    <w:p>
      <w:pPr>
        <w:spacing w:after="80"/>
      </w:pPr>
      <w:r>
        <w:rPr>
          <w:rFonts w:ascii="Aptos" w:hAnsi="Aptos"/>
          <w:b/>
          <w:sz w:val="19"/>
        </w:rPr>
        <w:t xml:space="preserve">[High] Pattern flags need stronger explainability.: </w:t>
      </w:r>
      <w:r>
        <w:rPr>
          <w:rFonts w:ascii="Aptos" w:hAnsi="Aptos"/>
          <w:sz w:val="19"/>
        </w:rPr>
        <w:t>Every pattern should expose evidence rows, thresholds, time windows, confidence, and what changed since last detection.</w:t>
      </w:r>
    </w:p>
    <w:p>
      <w:pPr>
        <w:spacing w:after="80"/>
      </w:pPr>
      <w:r>
        <w:rPr>
          <w:rFonts w:ascii="Aptos" w:hAnsi="Aptos"/>
          <w:b/>
          <w:sz w:val="19"/>
        </w:rPr>
        <w:t xml:space="preserve">[High] No false-positive management.: </w:t>
      </w:r>
      <w:r>
        <w:rPr>
          <w:rFonts w:ascii="Aptos" w:hAnsi="Aptos"/>
          <w:sz w:val="19"/>
        </w:rPr>
        <w:t>Allow users to dismiss, snooze, downgrade, or mark a pattern as not useful, then learn from that decision.</w:t>
      </w:r>
    </w:p>
    <w:p>
      <w:pPr>
        <w:spacing w:after="80"/>
      </w:pPr>
      <w:r>
        <w:rPr>
          <w:rFonts w:ascii="Aptos" w:hAnsi="Aptos"/>
          <w:b/>
          <w:sz w:val="19"/>
        </w:rPr>
        <w:t xml:space="preserve">[High] Memory has no decay or recency policy.: </w:t>
      </w:r>
      <w:r>
        <w:rPr>
          <w:rFonts w:ascii="Aptos" w:hAnsi="Aptos"/>
          <w:sz w:val="19"/>
        </w:rPr>
        <w:t>Patterns should weaken over time unless reinforced. Old backlog imports should not dominate current intelligence.</w:t>
      </w:r>
    </w:p>
    <w:p>
      <w:pPr>
        <w:spacing w:after="80"/>
      </w:pPr>
      <w:r>
        <w:rPr>
          <w:rFonts w:ascii="Aptos" w:hAnsi="Aptos"/>
          <w:b/>
          <w:sz w:val="19"/>
        </w:rPr>
        <w:t xml:space="preserve">[Medium] Entity resolution needs manual tools.: </w:t>
      </w:r>
      <w:r>
        <w:rPr>
          <w:rFonts w:ascii="Aptos" w:hAnsi="Aptos"/>
          <w:sz w:val="19"/>
        </w:rPr>
        <w:t>Add merge/split aliases for buildings, devices, contractors, mechanics, and clients.</w:t>
      </w:r>
    </w:p>
    <w:p>
      <w:pPr>
        <w:spacing w:after="80"/>
      </w:pPr>
      <w:r>
        <w:rPr>
          <w:rFonts w:ascii="Aptos" w:hAnsi="Aptos"/>
          <w:b/>
          <w:sz w:val="19"/>
        </w:rPr>
        <w:t xml:space="preserve">[Medium] Mechanic intelligence is sensitive and narrow.: </w:t>
      </w:r>
      <w:r>
        <w:rPr>
          <w:rFonts w:ascii="Aptos" w:hAnsi="Aptos"/>
          <w:sz w:val="19"/>
        </w:rPr>
        <w:t>Keep mechanic/technician insights evidence-based, cautious, and internal unless policy explicitly permits broader use.</w:t>
      </w:r>
    </w:p>
    <w:p>
      <w:pPr>
        <w:spacing w:after="80"/>
      </w:pPr>
      <w:r>
        <w:rPr>
          <w:rFonts w:ascii="Aptos" w:hAnsi="Aptos"/>
          <w:b/>
          <w:sz w:val="19"/>
        </w:rPr>
        <w:t xml:space="preserve">[Medium] No pattern quality dashboard.: </w:t>
      </w:r>
      <w:r>
        <w:rPr>
          <w:rFonts w:ascii="Aptos" w:hAnsi="Aptos"/>
          <w:sz w:val="19"/>
        </w:rPr>
        <w:t>Track which pattern flags lead to real actions, which are ignored, and which generate noise.</w:t>
      </w:r>
    </w:p>
    <w:p>
      <w:pPr>
        <w:pStyle w:val="Heading2"/>
      </w:pPr>
      <w:r>
        <w:rPr>
          <w:rFonts w:ascii="Aptos Display" w:hAnsi="Aptos Display"/>
          <w:color w:val="2F5496"/>
          <w:sz w:val="28"/>
        </w:rPr>
        <w:t>Observability and analytics</w:t>
      </w:r>
    </w:p>
    <w:p>
      <w:pPr>
        <w:spacing w:after="80"/>
      </w:pPr>
      <w:r>
        <w:rPr>
          <w:rFonts w:ascii="Aptos" w:hAnsi="Aptos"/>
          <w:b/>
          <w:sz w:val="19"/>
        </w:rPr>
        <w:t xml:space="preserve">[Blocker] Print statements are not operational logging.: </w:t>
      </w:r>
      <w:r>
        <w:rPr>
          <w:rFonts w:ascii="Aptos" w:hAnsi="Aptos"/>
          <w:sz w:val="19"/>
        </w:rPr>
        <w:t>Use structured logs with job ID, email ID, case ID, run ID, parser version, policy version, outcome, latency, and error fields.</w:t>
      </w:r>
    </w:p>
    <w:p>
      <w:pPr>
        <w:spacing w:after="80"/>
      </w:pPr>
      <w:r>
        <w:rPr>
          <w:rFonts w:ascii="Aptos" w:hAnsi="Aptos"/>
          <w:b/>
          <w:sz w:val="19"/>
        </w:rPr>
        <w:t xml:space="preserve">[High] No dashboards.: </w:t>
      </w:r>
      <w:r>
        <w:rPr>
          <w:rFonts w:ascii="Aptos" w:hAnsi="Aptos"/>
          <w:sz w:val="19"/>
        </w:rPr>
        <w:t>Build dashboards for ingest volume, accepted rate, review rate, unsupported families, parser misses, outbound drafts, sends, follow-ups, escalations, AI calls, and failures.</w:t>
      </w:r>
    </w:p>
    <w:p>
      <w:pPr>
        <w:spacing w:after="80"/>
      </w:pPr>
      <w:r>
        <w:rPr>
          <w:rFonts w:ascii="Aptos" w:hAnsi="Aptos"/>
          <w:b/>
          <w:sz w:val="19"/>
        </w:rPr>
        <w:t xml:space="preserve">[High] No alerting.: </w:t>
      </w:r>
      <w:r>
        <w:rPr>
          <w:rFonts w:ascii="Aptos" w:hAnsi="Aptos"/>
          <w:sz w:val="19"/>
        </w:rPr>
        <w:t>Alert when parsing fails spike, review backlog grows, outbound errors occur, AI budget is exhausted, scheduler stalls, or inbox polling fails.</w:t>
      </w:r>
    </w:p>
    <w:p>
      <w:pPr>
        <w:spacing w:after="80"/>
      </w:pPr>
      <w:r>
        <w:rPr>
          <w:rFonts w:ascii="Aptos" w:hAnsi="Aptos"/>
          <w:b/>
          <w:sz w:val="19"/>
        </w:rPr>
        <w:t xml:space="preserve">[Medium] No latency metrics.: </w:t>
      </w:r>
      <w:r>
        <w:rPr>
          <w:rFonts w:ascii="Aptos" w:hAnsi="Aptos"/>
          <w:sz w:val="19"/>
        </w:rPr>
        <w:t>Track time from email received to case created, draft created, review assigned, reply received, and closed.</w:t>
      </w:r>
    </w:p>
    <w:p>
      <w:pPr>
        <w:spacing w:after="80"/>
      </w:pPr>
      <w:r>
        <w:rPr>
          <w:rFonts w:ascii="Aptos" w:hAnsi="Aptos"/>
          <w:b/>
          <w:sz w:val="19"/>
        </w:rPr>
        <w:t xml:space="preserve">[Medium] No operational audit report.: </w:t>
      </w:r>
      <w:r>
        <w:rPr>
          <w:rFonts w:ascii="Aptos" w:hAnsi="Aptos"/>
          <w:sz w:val="19"/>
        </w:rPr>
        <w:t>Generate weekly reports showing automation yield, human workload, top parser gaps, contractor responsiveness, and stale cases.</w:t>
      </w:r>
    </w:p>
    <w:p>
      <w:pPr>
        <w:pStyle w:val="Heading2"/>
      </w:pPr>
      <w:r>
        <w:rPr>
          <w:rFonts w:ascii="Aptos Display" w:hAnsi="Aptos Display"/>
          <w:color w:val="2F5496"/>
          <w:sz w:val="28"/>
        </w:rPr>
        <w:t>Testing and quality assurance</w:t>
      </w:r>
    </w:p>
    <w:p>
      <w:pPr>
        <w:spacing w:after="80"/>
      </w:pPr>
      <w:r>
        <w:rPr>
          <w:rFonts w:ascii="Aptos" w:hAnsi="Aptos"/>
          <w:b/>
          <w:sz w:val="19"/>
        </w:rPr>
        <w:t xml:space="preserve">[Blocker] Real-world golden samples are missing from the upload.: </w:t>
      </w:r>
      <w:r>
        <w:rPr>
          <w:rFonts w:ascii="Aptos" w:hAnsi="Aptos"/>
          <w:sz w:val="19"/>
        </w:rPr>
        <w:t>Build a redacted corpus of real KPI emails with expected classification, fields, grouping, and review reasons.</w:t>
      </w:r>
    </w:p>
    <w:p>
      <w:pPr>
        <w:spacing w:after="80"/>
      </w:pPr>
      <w:r>
        <w:rPr>
          <w:rFonts w:ascii="Aptos" w:hAnsi="Aptos"/>
          <w:b/>
          <w:sz w:val="19"/>
        </w:rPr>
        <w:t xml:space="preserve">[High] Parser tests need to be exhaustive.: </w:t>
      </w:r>
      <w:r>
        <w:rPr>
          <w:rFonts w:ascii="Aptos" w:hAnsi="Aptos"/>
          <w:sz w:val="19"/>
        </w:rPr>
        <w:t>For every supported case type, test common layouts, missing labels, HTML tables, weird whitespace, bilingual variants, and malformed values.</w:t>
      </w:r>
    </w:p>
    <w:p>
      <w:pPr>
        <w:spacing w:after="80"/>
      </w:pPr>
      <w:r>
        <w:rPr>
          <w:rFonts w:ascii="Aptos" w:hAnsi="Aptos"/>
          <w:b/>
          <w:sz w:val="19"/>
        </w:rPr>
        <w:t xml:space="preserve">[High] Safety tests need to be adversarial.: </w:t>
      </w:r>
      <w:r>
        <w:rPr>
          <w:rFonts w:ascii="Aptos" w:hAnsi="Aptos"/>
          <w:sz w:val="19"/>
        </w:rPr>
        <w:t>Add prompt-injection, spoofed sender, unexpected attachment, malicious link, bad recipient, and outbound leakage tests.</w:t>
      </w:r>
    </w:p>
    <w:p>
      <w:pPr>
        <w:spacing w:after="80"/>
      </w:pPr>
      <w:r>
        <w:rPr>
          <w:rFonts w:ascii="Aptos" w:hAnsi="Aptos"/>
          <w:b/>
          <w:sz w:val="19"/>
        </w:rPr>
        <w:t xml:space="preserve">[High] End-to-end tests should assert business outcomes.: </w:t>
      </w:r>
      <w:r>
        <w:rPr>
          <w:rFonts w:ascii="Aptos" w:hAnsi="Aptos"/>
          <w:sz w:val="19"/>
        </w:rPr>
        <w:t>Test full scenarios: duplicate alerts group, reply indicates scheduled work, no response escalates, case closes only after human action.</w:t>
      </w:r>
    </w:p>
    <w:p>
      <w:pPr>
        <w:spacing w:after="80"/>
      </w:pPr>
      <w:r>
        <w:rPr>
          <w:rFonts w:ascii="Aptos" w:hAnsi="Aptos"/>
          <w:b/>
          <w:sz w:val="19"/>
        </w:rPr>
        <w:t xml:space="preserve">[Medium] No property-based or mutation tests.: </w:t>
      </w:r>
      <w:r>
        <w:rPr>
          <w:rFonts w:ascii="Aptos" w:hAnsi="Aptos"/>
          <w:sz w:val="19"/>
        </w:rPr>
        <w:t>Use generated variations to prove parsers are not just memorizing the happy path.</w:t>
      </w:r>
    </w:p>
    <w:p>
      <w:pPr>
        <w:spacing w:after="80"/>
      </w:pPr>
      <w:r>
        <w:rPr>
          <w:rFonts w:ascii="Aptos" w:hAnsi="Aptos"/>
          <w:b/>
          <w:sz w:val="19"/>
        </w:rPr>
        <w:t xml:space="preserve">[Medium] No load tests.: </w:t>
      </w:r>
      <w:r>
        <w:rPr>
          <w:rFonts w:ascii="Aptos" w:hAnsi="Aptos"/>
          <w:sz w:val="19"/>
        </w:rPr>
        <w:t>Simulate thousands of historical messages and multiple workers to catch SQLite, cache, and file IO bottlenecks.</w:t>
      </w:r>
    </w:p>
    <w:p>
      <w:pPr>
        <w:pStyle w:val="Heading2"/>
      </w:pPr>
      <w:r>
        <w:rPr>
          <w:rFonts w:ascii="Aptos Display" w:hAnsi="Aptos Display"/>
          <w:color w:val="2F5496"/>
          <w:sz w:val="28"/>
        </w:rPr>
        <w:t>Reliability and error handling</w:t>
      </w:r>
    </w:p>
    <w:p>
      <w:pPr>
        <w:spacing w:after="80"/>
      </w:pPr>
      <w:r>
        <w:rPr>
          <w:rFonts w:ascii="Aptos" w:hAnsi="Aptos"/>
          <w:b/>
          <w:sz w:val="19"/>
        </w:rPr>
        <w:t xml:space="preserve">[High] Exception handling often logs and continues.: </w:t>
      </w:r>
      <w:r>
        <w:rPr>
          <w:rFonts w:ascii="Aptos" w:hAnsi="Aptos"/>
          <w:sz w:val="19"/>
        </w:rPr>
        <w:t>Classify errors as retryable, non-retryable, safety-blocked, malformed input, or operator-required.</w:t>
      </w:r>
    </w:p>
    <w:p>
      <w:pPr>
        <w:spacing w:after="80"/>
      </w:pPr>
      <w:r>
        <w:rPr>
          <w:rFonts w:ascii="Aptos" w:hAnsi="Aptos"/>
          <w:b/>
          <w:sz w:val="19"/>
        </w:rPr>
        <w:t xml:space="preserve">[High] No retry/backoff model.: </w:t>
      </w:r>
      <w:r>
        <w:rPr>
          <w:rFonts w:ascii="Aptos" w:hAnsi="Aptos"/>
          <w:sz w:val="19"/>
        </w:rPr>
        <w:t>Add controlled retries for transient IMAP, SMTP, AI, and database failures.</w:t>
      </w:r>
    </w:p>
    <w:p>
      <w:pPr>
        <w:spacing w:after="80"/>
      </w:pPr>
      <w:r>
        <w:rPr>
          <w:rFonts w:ascii="Aptos" w:hAnsi="Aptos"/>
          <w:b/>
          <w:sz w:val="19"/>
        </w:rPr>
        <w:t xml:space="preserve">[High] No dead-letter queue.: </w:t>
      </w:r>
      <w:r>
        <w:rPr>
          <w:rFonts w:ascii="Aptos" w:hAnsi="Aptos"/>
          <w:sz w:val="19"/>
        </w:rPr>
        <w:t>Messages that repeatedly fail should land in a clear operator queue with full context.</w:t>
      </w:r>
    </w:p>
    <w:p>
      <w:pPr>
        <w:spacing w:after="80"/>
      </w:pPr>
      <w:r>
        <w:rPr>
          <w:rFonts w:ascii="Aptos" w:hAnsi="Aptos"/>
          <w:b/>
          <w:sz w:val="19"/>
        </w:rPr>
        <w:t xml:space="preserve">[Medium] No graceful shutdown model.: </w:t>
      </w:r>
      <w:r>
        <w:rPr>
          <w:rFonts w:ascii="Aptos" w:hAnsi="Aptos"/>
          <w:sz w:val="19"/>
        </w:rPr>
        <w:t>Make workers stop after completing in-flight jobs and persist partial progress.</w:t>
      </w:r>
    </w:p>
    <w:p>
      <w:pPr>
        <w:spacing w:after="80"/>
      </w:pPr>
      <w:r>
        <w:rPr>
          <w:rFonts w:ascii="Aptos" w:hAnsi="Aptos"/>
          <w:b/>
          <w:sz w:val="19"/>
        </w:rPr>
        <w:t xml:space="preserve">[Medium] No health checks.: </w:t>
      </w:r>
      <w:r>
        <w:rPr>
          <w:rFonts w:ascii="Aptos" w:hAnsi="Aptos"/>
          <w:sz w:val="19"/>
        </w:rPr>
        <w:t>Expose health endpoints for database, scheduler, inbox, SMTP, AI gateway, and worker queue.</w:t>
      </w:r>
    </w:p>
    <w:p>
      <w:pPr>
        <w:spacing w:after="80"/>
      </w:pPr>
      <w:r>
        <w:rPr>
          <w:rFonts w:ascii="Aptos" w:hAnsi="Aptos"/>
          <w:b/>
          <w:sz w:val="19"/>
        </w:rPr>
        <w:t xml:space="preserve">[Low] No chaos testing.: </w:t>
      </w:r>
      <w:r>
        <w:rPr>
          <w:rFonts w:ascii="Aptos" w:hAnsi="Aptos"/>
          <w:sz w:val="19"/>
        </w:rPr>
        <w:t>Periodically test what happens when IMAP fails, SMTP fails, DB locks, AI budget expires, and cache is corrupt.</w:t>
      </w:r>
    </w:p>
    <w:p>
      <w:pPr>
        <w:pStyle w:val="Heading2"/>
      </w:pPr>
      <w:r>
        <w:rPr>
          <w:rFonts w:ascii="Aptos Display" w:hAnsi="Aptos Display"/>
          <w:color w:val="2F5496"/>
          <w:sz w:val="28"/>
        </w:rPr>
        <w:t>Performance and scale</w:t>
      </w:r>
    </w:p>
    <w:p>
      <w:pPr>
        <w:spacing w:after="80"/>
      </w:pPr>
      <w:r>
        <w:rPr>
          <w:rFonts w:ascii="Aptos" w:hAnsi="Aptos"/>
          <w:b/>
          <w:sz w:val="19"/>
        </w:rPr>
        <w:t xml:space="preserve">[High] SQLite plus file cache will bottleneck under concurrency.: </w:t>
      </w:r>
      <w:r>
        <w:rPr>
          <w:rFonts w:ascii="Aptos" w:hAnsi="Aptos"/>
          <w:sz w:val="19"/>
        </w:rPr>
        <w:t>Use Postgres and a lock-safe cache store for multi-worker operation.</w:t>
      </w:r>
    </w:p>
    <w:p>
      <w:pPr>
        <w:spacing w:after="80"/>
      </w:pPr>
      <w:r>
        <w:rPr>
          <w:rFonts w:ascii="Aptos" w:hAnsi="Aptos"/>
          <w:b/>
          <w:sz w:val="19"/>
        </w:rPr>
        <w:t xml:space="preserve">[High] Per-run reports and cache files can grow messy.: </w:t>
      </w:r>
      <w:r>
        <w:rPr>
          <w:rFonts w:ascii="Aptos" w:hAnsi="Aptos"/>
          <w:sz w:val="19"/>
        </w:rPr>
        <w:t>Store run metadata and AI call records in database tables with retention and export jobs.</w:t>
      </w:r>
    </w:p>
    <w:p>
      <w:pPr>
        <w:spacing w:after="80"/>
      </w:pPr>
      <w:r>
        <w:rPr>
          <w:rFonts w:ascii="Aptos" w:hAnsi="Aptos"/>
          <w:b/>
          <w:sz w:val="19"/>
        </w:rPr>
        <w:t xml:space="preserve">[Medium] Backlog import needs streaming.: </w:t>
      </w:r>
      <w:r>
        <w:rPr>
          <w:rFonts w:ascii="Aptos" w:hAnsi="Aptos"/>
          <w:sz w:val="19"/>
        </w:rPr>
        <w:t>Avoid loading huge JSON arrays fully into memory. Stream records and commit in batches.</w:t>
      </w:r>
    </w:p>
    <w:p>
      <w:pPr>
        <w:spacing w:after="80"/>
      </w:pPr>
      <w:r>
        <w:rPr>
          <w:rFonts w:ascii="Aptos" w:hAnsi="Aptos"/>
          <w:b/>
          <w:sz w:val="19"/>
        </w:rPr>
        <w:t xml:space="preserve">[Medium] No indexing strategy is documented.: </w:t>
      </w:r>
      <w:r>
        <w:rPr>
          <w:rFonts w:ascii="Aptos" w:hAnsi="Aptos"/>
          <w:sz w:val="19"/>
        </w:rPr>
        <w:t>Add and test indexes for case status, grouping key, received_at, review status, follow-up deadline, entity aliases, and pattern flags.</w:t>
      </w:r>
    </w:p>
    <w:p>
      <w:pPr>
        <w:spacing w:after="80"/>
      </w:pPr>
      <w:r>
        <w:rPr>
          <w:rFonts w:ascii="Aptos" w:hAnsi="Aptos"/>
          <w:b/>
          <w:sz w:val="19"/>
        </w:rPr>
        <w:t xml:space="preserve">[Medium] No batch parser optimization.: </w:t>
      </w:r>
      <w:r>
        <w:rPr>
          <w:rFonts w:ascii="Aptos" w:hAnsi="Aptos"/>
          <w:sz w:val="19"/>
        </w:rPr>
        <w:t>Group similar backlog emails so parser improvements can be applied once and re-run efficiently.</w:t>
      </w:r>
    </w:p>
    <w:p>
      <w:pPr>
        <w:pStyle w:val="Heading2"/>
      </w:pPr>
      <w:r>
        <w:rPr>
          <w:rFonts w:ascii="Aptos Display" w:hAnsi="Aptos Display"/>
          <w:color w:val="2F5496"/>
          <w:sz w:val="28"/>
        </w:rPr>
        <w:t>UI and user experience</w:t>
      </w:r>
    </w:p>
    <w:p>
      <w:pPr>
        <w:spacing w:after="80"/>
      </w:pPr>
      <w:r>
        <w:rPr>
          <w:rFonts w:ascii="Aptos" w:hAnsi="Aptos"/>
          <w:b/>
          <w:sz w:val="19"/>
        </w:rPr>
        <w:t xml:space="preserve">[Blocker] The UI source was not included, so it cannot be audited directly.: </w:t>
      </w:r>
      <w:r>
        <w:rPr>
          <w:rFonts w:ascii="Aptos" w:hAnsi="Aptos"/>
          <w:sz w:val="19"/>
        </w:rPr>
        <w:t>Before relying on it, review authentication, authorization, form validation, CSRF, state transitions, and audit logging.</w:t>
      </w:r>
    </w:p>
    <w:p>
      <w:pPr>
        <w:spacing w:after="80"/>
      </w:pPr>
      <w:r>
        <w:rPr>
          <w:rFonts w:ascii="Aptos" w:hAnsi="Aptos"/>
          <w:b/>
          <w:sz w:val="19"/>
        </w:rPr>
        <w:t xml:space="preserve">[High] Review UI needs decision support.: </w:t>
      </w:r>
      <w:r>
        <w:rPr>
          <w:rFonts w:ascii="Aptos" w:hAnsi="Aptos"/>
          <w:sz w:val="19"/>
        </w:rPr>
        <w:t>Show raw email, parsed fields, confidence, missing fields, parser reason, similar cases, aliases, contact candidates, and suggested actions in one place.</w:t>
      </w:r>
    </w:p>
    <w:p>
      <w:pPr>
        <w:spacing w:after="80"/>
      </w:pPr>
      <w:r>
        <w:rPr>
          <w:rFonts w:ascii="Aptos" w:hAnsi="Aptos"/>
          <w:b/>
          <w:sz w:val="19"/>
        </w:rPr>
        <w:t xml:space="preserve">[High] Bulk operations are necessary.: </w:t>
      </w:r>
      <w:r>
        <w:rPr>
          <w:rFonts w:ascii="Aptos" w:hAnsi="Aptos"/>
          <w:sz w:val="19"/>
        </w:rPr>
        <w:t>Users need batch classify, batch reject, batch alias, batch merge, and batch close proposals, especially after backlog import.</w:t>
      </w:r>
    </w:p>
    <w:p>
      <w:pPr>
        <w:spacing w:after="80"/>
      </w:pPr>
      <w:r>
        <w:rPr>
          <w:rFonts w:ascii="Aptos" w:hAnsi="Aptos"/>
          <w:b/>
          <w:sz w:val="19"/>
        </w:rPr>
        <w:t xml:space="preserve">[Medium] Case timeline needs clarity.: </w:t>
      </w:r>
      <w:r>
        <w:rPr>
          <w:rFonts w:ascii="Aptos" w:hAnsi="Aptos"/>
          <w:sz w:val="19"/>
        </w:rPr>
        <w:t>Use chronological events, outbound messages, replies, field changes, memory flags, and review decisions as one narrative.</w:t>
      </w:r>
    </w:p>
    <w:p>
      <w:pPr>
        <w:spacing w:after="80"/>
      </w:pPr>
      <w:r>
        <w:rPr>
          <w:rFonts w:ascii="Aptos" w:hAnsi="Aptos"/>
          <w:b/>
          <w:sz w:val="19"/>
        </w:rPr>
        <w:t xml:space="preserve">[Medium] No explainability controls.: </w:t>
      </w:r>
      <w:r>
        <w:rPr>
          <w:rFonts w:ascii="Aptos" w:hAnsi="Aptos"/>
          <w:sz w:val="19"/>
        </w:rPr>
        <w:t>Show why a case was classified, why a field was extracted, why a grouping key was chosen, and why a follow-up is due.</w:t>
      </w:r>
    </w:p>
    <w:p>
      <w:pPr>
        <w:spacing w:after="80"/>
      </w:pPr>
      <w:r>
        <w:rPr>
          <w:rFonts w:ascii="Aptos" w:hAnsi="Aptos"/>
          <w:b/>
          <w:sz w:val="19"/>
        </w:rPr>
        <w:t xml:space="preserve">[Medium] No admin policy editor.: </w:t>
      </w:r>
      <w:r>
        <w:rPr>
          <w:rFonts w:ascii="Aptos" w:hAnsi="Aptos"/>
          <w:sz w:val="19"/>
        </w:rPr>
        <w:t>Eventually add a safe editor for taxonomy, aliases, routing, templates, and escalation policy with validation and preview.</w:t>
      </w:r>
    </w:p>
    <w:p>
      <w:pPr>
        <w:pStyle w:val="Heading2"/>
      </w:pPr>
      <w:r>
        <w:rPr>
          <w:rFonts w:ascii="Aptos Display" w:hAnsi="Aptos Display"/>
          <w:color w:val="2F5496"/>
          <w:sz w:val="28"/>
        </w:rPr>
        <w:t>DevOps and deployment</w:t>
      </w:r>
    </w:p>
    <w:p>
      <w:pPr>
        <w:spacing w:after="80"/>
      </w:pPr>
      <w:r>
        <w:rPr>
          <w:rFonts w:ascii="Aptos" w:hAnsi="Aptos"/>
          <w:b/>
          <w:sz w:val="19"/>
        </w:rPr>
        <w:t xml:space="preserve">[Blocker] No production deployment plan.: </w:t>
      </w:r>
      <w:r>
        <w:rPr>
          <w:rFonts w:ascii="Aptos" w:hAnsi="Aptos"/>
          <w:sz w:val="19"/>
        </w:rPr>
        <w:t>Define containerization, environment configuration, database provisioning, backups, monitoring, secrets, domain/DNS, and rollback.</w:t>
      </w:r>
    </w:p>
    <w:p>
      <w:pPr>
        <w:spacing w:after="80"/>
      </w:pPr>
      <w:r>
        <w:rPr>
          <w:rFonts w:ascii="Aptos" w:hAnsi="Aptos"/>
          <w:b/>
          <w:sz w:val="19"/>
        </w:rPr>
        <w:t xml:space="preserve">[High] No CI/CD expectations.: </w:t>
      </w:r>
      <w:r>
        <w:rPr>
          <w:rFonts w:ascii="Aptos" w:hAnsi="Aptos"/>
          <w:sz w:val="19"/>
        </w:rPr>
        <w:t>Run lint, type check, unit tests, parser regression tests, security scans, and doc generation in CI.</w:t>
      </w:r>
    </w:p>
    <w:p>
      <w:pPr>
        <w:spacing w:after="80"/>
      </w:pPr>
      <w:r>
        <w:rPr>
          <w:rFonts w:ascii="Aptos" w:hAnsi="Aptos"/>
          <w:b/>
          <w:sz w:val="19"/>
        </w:rPr>
        <w:t xml:space="preserve">[High] No backup and restore runbook.: </w:t>
      </w:r>
      <w:r>
        <w:rPr>
          <w:rFonts w:ascii="Aptos" w:hAnsi="Aptos"/>
          <w:sz w:val="19"/>
        </w:rPr>
        <w:t>Production case data, emails, outbound logs, and memory state need tested backups and restore drills.</w:t>
      </w:r>
    </w:p>
    <w:p>
      <w:pPr>
        <w:spacing w:after="80"/>
      </w:pPr>
      <w:r>
        <w:rPr>
          <w:rFonts w:ascii="Aptos" w:hAnsi="Aptos"/>
          <w:b/>
          <w:sz w:val="19"/>
        </w:rPr>
        <w:t xml:space="preserve">[Medium] No environment separation.: </w:t>
      </w:r>
      <w:r>
        <w:rPr>
          <w:rFonts w:ascii="Aptos" w:hAnsi="Aptos"/>
          <w:sz w:val="19"/>
        </w:rPr>
        <w:t>Use dev, staging, demo, and production configs with hard barriers to prevent demo/test sends from crossing environments.</w:t>
      </w:r>
    </w:p>
    <w:p>
      <w:pPr>
        <w:spacing w:after="80"/>
      </w:pPr>
      <w:r>
        <w:rPr>
          <w:rFonts w:ascii="Aptos" w:hAnsi="Aptos"/>
          <w:b/>
          <w:sz w:val="19"/>
        </w:rPr>
        <w:t xml:space="preserve">[Medium] No release notes or changelog.: </w:t>
      </w:r>
      <w:r>
        <w:rPr>
          <w:rFonts w:ascii="Aptos" w:hAnsi="Aptos"/>
          <w:sz w:val="19"/>
        </w:rPr>
        <w:t>Every taxonomy and parser change should produce a release note and expected behavior impact.</w:t>
      </w:r>
    </w:p>
    <w:p>
      <w:pPr>
        <w:pStyle w:val="Heading2"/>
      </w:pPr>
      <w:r>
        <w:rPr>
          <w:rFonts w:ascii="Aptos Display" w:hAnsi="Aptos Display"/>
          <w:color w:val="2F5496"/>
          <w:sz w:val="28"/>
        </w:rPr>
        <w:t>Code quality and maintainability</w:t>
      </w:r>
    </w:p>
    <w:p>
      <w:pPr>
        <w:spacing w:after="80"/>
      </w:pPr>
      <w:r>
        <w:rPr>
          <w:rFonts w:ascii="Aptos" w:hAnsi="Aptos"/>
          <w:b/>
          <w:sz w:val="19"/>
        </w:rPr>
        <w:t xml:space="preserve">[High] There are small code smells that should be cleaned now.: </w:t>
      </w:r>
      <w:r>
        <w:rPr>
          <w:rFonts w:ascii="Aptos" w:hAnsi="Aptos"/>
          <w:sz w:val="19"/>
        </w:rPr>
        <w:t>Examples include duplicated device assignment in case creation and duplicated model_name in the AI report. Small sloppiness compounds fast.</w:t>
      </w:r>
    </w:p>
    <w:p>
      <w:pPr>
        <w:spacing w:after="80"/>
      </w:pPr>
      <w:r>
        <w:rPr>
          <w:rFonts w:ascii="Aptos" w:hAnsi="Aptos"/>
          <w:b/>
          <w:sz w:val="19"/>
        </w:rPr>
        <w:t xml:space="preserve">[High] Private extractor functions are imported by backlog_loader.: </w:t>
      </w:r>
      <w:r>
        <w:rPr>
          <w:rFonts w:ascii="Aptos" w:hAnsi="Aptos"/>
          <w:sz w:val="19"/>
        </w:rPr>
        <w:t>Promote shared parser helpers to a public module or service. Do not couple importer internals to private extractor functions.</w:t>
      </w:r>
    </w:p>
    <w:p>
      <w:pPr>
        <w:spacing w:after="80"/>
      </w:pPr>
      <w:r>
        <w:rPr>
          <w:rFonts w:ascii="Aptos" w:hAnsi="Aptos"/>
          <w:b/>
          <w:sz w:val="19"/>
        </w:rPr>
        <w:t xml:space="preserve">[High] Constants are scattered.: </w:t>
      </w:r>
      <w:r>
        <w:rPr>
          <w:rFonts w:ascii="Aptos" w:hAnsi="Aptos"/>
          <w:sz w:val="19"/>
        </w:rPr>
        <w:t>Centralize case types, fields, statuses, event types, review reasons, and priorities as enums or registry entries.</w:t>
      </w:r>
    </w:p>
    <w:p>
      <w:pPr>
        <w:spacing w:after="80"/>
      </w:pPr>
      <w:r>
        <w:rPr>
          <w:rFonts w:ascii="Aptos" w:hAnsi="Aptos"/>
          <w:b/>
          <w:sz w:val="19"/>
        </w:rPr>
        <w:t xml:space="preserve">[Medium] Typing is partial.: </w:t>
      </w:r>
      <w:r>
        <w:rPr>
          <w:rFonts w:ascii="Aptos" w:hAnsi="Aptos"/>
          <w:sz w:val="19"/>
        </w:rPr>
        <w:t>Adopt mypy or pyright and replace loose Dict[str, Any] flows with dataclasses or Pydantic models.</w:t>
      </w:r>
    </w:p>
    <w:p>
      <w:pPr>
        <w:spacing w:after="80"/>
      </w:pPr>
      <w:r>
        <w:rPr>
          <w:rFonts w:ascii="Aptos" w:hAnsi="Aptos"/>
          <w:b/>
          <w:sz w:val="19"/>
        </w:rPr>
        <w:t xml:space="preserve">[Medium] Logging is not structured.: </w:t>
      </w:r>
      <w:r>
        <w:rPr>
          <w:rFonts w:ascii="Aptos" w:hAnsi="Aptos"/>
          <w:sz w:val="19"/>
        </w:rPr>
        <w:t>Replace print statements with configured logging and structured context.</w:t>
      </w:r>
    </w:p>
    <w:p>
      <w:pPr>
        <w:spacing w:after="80"/>
      </w:pPr>
      <w:r>
        <w:rPr>
          <w:rFonts w:ascii="Aptos" w:hAnsi="Aptos"/>
          <w:b/>
          <w:sz w:val="19"/>
        </w:rPr>
        <w:t xml:space="preserve">[Medium] No lint/format policy is visible.: </w:t>
      </w:r>
      <w:r>
        <w:rPr>
          <w:rFonts w:ascii="Aptos" w:hAnsi="Aptos"/>
          <w:sz w:val="19"/>
        </w:rPr>
        <w:t>Use ruff, black, isort, and pre-commit so AI-generated code stays tidy.</w:t>
      </w:r>
    </w:p>
    <w:p>
      <w:pPr>
        <w:spacing w:after="80"/>
      </w:pPr>
      <w:r>
        <w:rPr>
          <w:rFonts w:ascii="Aptos" w:hAnsi="Aptos"/>
          <w:b/>
          <w:sz w:val="19"/>
        </w:rPr>
        <w:t xml:space="preserve">[Low] Docstrings are good but sometimes overstate production readiness.: </w:t>
      </w:r>
      <w:r>
        <w:rPr>
          <w:rFonts w:ascii="Aptos" w:hAnsi="Aptos"/>
          <w:sz w:val="19"/>
        </w:rPr>
        <w:t>Keep docstrings factual and distinguish demo behavior from production behavior.</w:t>
      </w:r>
    </w:p>
    <w:p>
      <w:pPr>
        <w:pStyle w:val="Heading2"/>
      </w:pPr>
      <w:r>
        <w:rPr>
          <w:rFonts w:ascii="Aptos Display" w:hAnsi="Aptos Display"/>
          <w:color w:val="2F5496"/>
          <w:sz w:val="28"/>
        </w:rPr>
        <w:t>Documentation and onboarding</w:t>
      </w:r>
    </w:p>
    <w:p>
      <w:pPr>
        <w:spacing w:after="80"/>
      </w:pPr>
      <w:r>
        <w:rPr>
          <w:rFonts w:ascii="Aptos" w:hAnsi="Aptos"/>
          <w:b/>
          <w:sz w:val="19"/>
        </w:rPr>
        <w:t xml:space="preserve">[High] Architecture docs need to become living docs.: </w:t>
      </w:r>
      <w:r>
        <w:rPr>
          <w:rFonts w:ascii="Aptos" w:hAnsi="Aptos"/>
          <w:sz w:val="19"/>
        </w:rPr>
        <w:t>Keep architecture, design, taxonomy, runbooks, and testing docs in repo and update them with each behavior change.</w:t>
      </w:r>
    </w:p>
    <w:p>
      <w:pPr>
        <w:spacing w:after="80"/>
      </w:pPr>
      <w:r>
        <w:rPr>
          <w:rFonts w:ascii="Aptos" w:hAnsi="Aptos"/>
          <w:b/>
          <w:sz w:val="19"/>
        </w:rPr>
        <w:t xml:space="preserve">[High] No operator runbook.: </w:t>
      </w:r>
      <w:r>
        <w:rPr>
          <w:rFonts w:ascii="Aptos" w:hAnsi="Aptos"/>
          <w:sz w:val="19"/>
        </w:rPr>
        <w:t>Write how to start, stop, recover, inspect reports, handle stuck cases, resolve review queues, and rollback imports.</w:t>
      </w:r>
    </w:p>
    <w:p>
      <w:pPr>
        <w:spacing w:after="80"/>
      </w:pPr>
      <w:r>
        <w:rPr>
          <w:rFonts w:ascii="Aptos" w:hAnsi="Aptos"/>
          <w:b/>
          <w:sz w:val="19"/>
        </w:rPr>
        <w:t xml:space="preserve">[High] No policy decision log.: </w:t>
      </w:r>
      <w:r>
        <w:rPr>
          <w:rFonts w:ascii="Aptos" w:hAnsi="Aptos"/>
          <w:sz w:val="19"/>
        </w:rPr>
        <w:t>Track decisions from Ray and business stakeholders: when clients are looped in, when senior escalation happens, what KPI families are supported, and what is out of scope.</w:t>
      </w:r>
    </w:p>
    <w:p>
      <w:pPr>
        <w:spacing w:after="80"/>
      </w:pPr>
      <w:r>
        <w:rPr>
          <w:rFonts w:ascii="Aptos" w:hAnsi="Aptos"/>
          <w:b/>
          <w:sz w:val="19"/>
        </w:rPr>
        <w:t xml:space="preserve">[Medium] No sample correction workflow.: </w:t>
      </w:r>
      <w:r>
        <w:rPr>
          <w:rFonts w:ascii="Aptos" w:hAnsi="Aptos"/>
          <w:sz w:val="19"/>
        </w:rPr>
        <w:t>Document how a reviewer turns a bad extraction into a parser improvement and test.</w:t>
      </w:r>
    </w:p>
    <w:p>
      <w:pPr>
        <w:spacing w:after="80"/>
      </w:pPr>
      <w:r>
        <w:rPr>
          <w:rFonts w:ascii="Aptos" w:hAnsi="Aptos"/>
          <w:b/>
          <w:sz w:val="19"/>
        </w:rPr>
        <w:t xml:space="preserve">[Medium] No glossary.: </w:t>
      </w:r>
      <w:r>
        <w:rPr>
          <w:rFonts w:ascii="Aptos" w:hAnsi="Aptos"/>
          <w:sz w:val="19"/>
        </w:rPr>
        <w:t>Define KPI, CAT1, CAT5, AHJ, evolve, SoluTrak, grouping key, case, review item, observation, and pattern flag.</w:t>
      </w:r>
    </w:p>
    <w:p>
      <w:pPr>
        <w:pStyle w:val="Heading1"/>
      </w:pPr>
      <w:r>
        <w:rPr>
          <w:rFonts w:ascii="Aptos Display" w:hAnsi="Aptos Display"/>
          <w:color w:val="1F4E79"/>
          <w:sz w:val="36"/>
        </w:rPr>
        <w:t>4. Module-by-Module Improvement Notes</w:t>
      </w:r>
    </w:p>
    <w:p>
      <w:pPr>
        <w:spacing w:after="120"/>
      </w:pPr>
      <w:r>
        <w:rPr>
          <w:rFonts w:ascii="Aptos" w:hAnsi="Aptos"/>
          <w:sz w:val="20"/>
        </w:rPr>
        <w:t>This section condenses the critique down to the source modules so you can turn the notes into actual code tasks.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2232"/>
            <w:vAlign w:val="top"/>
            <w:shd w:fill="1F4E79"/>
          </w:tcPr>
          <w:p>
            <w:r/>
            <w:r>
              <w:rPr>
                <w:b/>
                <w:color w:val="FFFFFF"/>
                <w:sz w:val="16"/>
              </w:rPr>
              <w:t>Module</w:t>
            </w:r>
          </w:p>
        </w:tc>
        <w:tc>
          <w:tcPr>
            <w:tcW w:type="dxa" w:w="8280"/>
            <w:vAlign w:val="top"/>
            <w:shd w:fill="1F4E79"/>
          </w:tcPr>
          <w:p>
            <w:r/>
            <w:r>
              <w:rPr>
                <w:b/>
                <w:color w:val="FFFFFF"/>
                <w:sz w:val="16"/>
              </w:rPr>
              <w:t>Critical improvement note</w:t>
            </w:r>
          </w:p>
        </w:tc>
      </w:tr>
      <w:tr>
        <w:tc>
          <w:tcPr>
            <w:tcW w:type="dxa" w:w="2232"/>
            <w:vAlign w:val="top"/>
          </w:tcPr>
          <w:p>
            <w:r/>
            <w:r>
              <w:rPr>
                <w:b w:val="0"/>
                <w:sz w:val="16"/>
              </w:rPr>
              <w:t>agent.py</w:t>
            </w:r>
          </w:p>
        </w:tc>
        <w:tc>
          <w:tcPr>
            <w:tcW w:type="dxa" w:w="8280"/>
            <w:vAlign w:val="top"/>
          </w:tcPr>
          <w:p>
            <w:r/>
            <w:r>
              <w:rPr>
                <w:b w:val="0"/>
                <w:sz w:val="16"/>
              </w:rPr>
              <w:t>Good as CLI wiring, but it should not remain the long-term home for runtime orchestration. Move setup and command implementations into smaller command modules.</w:t>
            </w:r>
          </w:p>
        </w:tc>
      </w:tr>
      <w:tr>
        <w:tc>
          <w:tcPr>
            <w:tcW w:type="dxa" w:w="2232"/>
            <w:vAlign w:val="top"/>
          </w:tcPr>
          <w:p>
            <w:r/>
            <w:r>
              <w:rPr>
                <w:b w:val="0"/>
                <w:sz w:val="16"/>
              </w:rPr>
              <w:t>case_manager.py</w:t>
            </w:r>
          </w:p>
        </w:tc>
        <w:tc>
          <w:tcPr>
            <w:tcW w:type="dxa" w:w="8280"/>
            <w:vAlign w:val="top"/>
          </w:tcPr>
          <w:p>
            <w:r/>
            <w:r>
              <w:rPr>
                <w:b w:val="0"/>
                <w:sz w:val="16"/>
              </w:rPr>
              <w:t>Correctly centralizes the main flow, but it currently carries too much policy. It should orchestrate services, not own every business rule.</w:t>
            </w:r>
          </w:p>
        </w:tc>
      </w:tr>
      <w:tr>
        <w:tc>
          <w:tcPr>
            <w:tcW w:type="dxa" w:w="2232"/>
            <w:vAlign w:val="top"/>
          </w:tcPr>
          <w:p>
            <w:r/>
            <w:r>
              <w:rPr>
                <w:b w:val="0"/>
                <w:sz w:val="16"/>
              </w:rPr>
              <w:t>classifier.py</w:t>
            </w:r>
          </w:p>
        </w:tc>
        <w:tc>
          <w:tcPr>
            <w:tcW w:type="dxa" w:w="8280"/>
            <w:vAlign w:val="top"/>
          </w:tcPr>
          <w:p>
            <w:r/>
            <w:r>
              <w:rPr>
                <w:b w:val="0"/>
                <w:sz w:val="16"/>
              </w:rPr>
              <w:t>The deterministic approach is good, but pattern definitions need metadata, tests, owners, and a path for unsupported families to become supported families.</w:t>
            </w:r>
          </w:p>
        </w:tc>
      </w:tr>
      <w:tr>
        <w:tc>
          <w:tcPr>
            <w:tcW w:type="dxa" w:w="2232"/>
            <w:vAlign w:val="top"/>
          </w:tcPr>
          <w:p>
            <w:r/>
            <w:r>
              <w:rPr>
                <w:b w:val="0"/>
                <w:sz w:val="16"/>
              </w:rPr>
              <w:t>extractor.py</w:t>
            </w:r>
          </w:p>
        </w:tc>
        <w:tc>
          <w:tcPr>
            <w:tcW w:type="dxa" w:w="8280"/>
            <w:vAlign w:val="top"/>
          </w:tcPr>
          <w:p>
            <w:r/>
            <w:r>
              <w:rPr>
                <w:b w:val="0"/>
                <w:sz w:val="16"/>
              </w:rPr>
              <w:t>The parser is useful but brittle. It needs provenance, schema validation, better HTML/table handling, alias integration, and robust date/device normalization.</w:t>
            </w:r>
          </w:p>
        </w:tc>
      </w:tr>
      <w:tr>
        <w:tc>
          <w:tcPr>
            <w:tcW w:type="dxa" w:w="2232"/>
            <w:vAlign w:val="top"/>
          </w:tcPr>
          <w:p>
            <w:r/>
            <w:r>
              <w:rPr>
                <w:b w:val="0"/>
                <w:sz w:val="16"/>
              </w:rPr>
              <w:t>backlog_loader.py</w:t>
            </w:r>
          </w:p>
        </w:tc>
        <w:tc>
          <w:tcPr>
            <w:tcW w:type="dxa" w:w="8280"/>
            <w:vAlign w:val="top"/>
          </w:tcPr>
          <w:p>
            <w:r/>
            <w:r>
              <w:rPr>
                <w:b w:val="0"/>
                <w:sz w:val="16"/>
              </w:rPr>
              <w:t>Safe separation from outbound is good. The next evolution is turning rejects into parser backlog, not just reports.</w:t>
            </w:r>
          </w:p>
        </w:tc>
      </w:tr>
      <w:tr>
        <w:tc>
          <w:tcPr>
            <w:tcW w:type="dxa" w:w="2232"/>
            <w:vAlign w:val="top"/>
          </w:tcPr>
          <w:p>
            <w:r/>
            <w:r>
              <w:rPr>
                <w:b w:val="0"/>
                <w:sz w:val="16"/>
              </w:rPr>
              <w:t>database.py</w:t>
            </w:r>
          </w:p>
        </w:tc>
        <w:tc>
          <w:tcPr>
            <w:tcW w:type="dxa" w:w="8280"/>
            <w:vAlign w:val="top"/>
          </w:tcPr>
          <w:p>
            <w:r/>
            <w:r>
              <w:rPr>
                <w:b w:val="0"/>
                <w:sz w:val="16"/>
              </w:rPr>
              <w:t>Thread-local SQLite with WAL is clever for a demo. Production needs migrations, stronger constraints, Postgres, and data lifecycle policies.</w:t>
            </w:r>
          </w:p>
        </w:tc>
      </w:tr>
      <w:tr>
        <w:tc>
          <w:tcPr>
            <w:tcW w:type="dxa" w:w="2232"/>
            <w:vAlign w:val="top"/>
          </w:tcPr>
          <w:p>
            <w:r/>
            <w:r>
              <w:rPr>
                <w:b w:val="0"/>
                <w:sz w:val="16"/>
              </w:rPr>
              <w:t>ai_gateway.py</w:t>
            </w:r>
          </w:p>
        </w:tc>
        <w:tc>
          <w:tcPr>
            <w:tcW w:type="dxa" w:w="8280"/>
            <w:vAlign w:val="top"/>
          </w:tcPr>
          <w:p>
            <w:r/>
            <w:r>
              <w:rPr>
                <w:b w:val="0"/>
                <w:sz w:val="16"/>
              </w:rPr>
              <w:t>Strong control point. Needs schema validation, better token accounting, durable reporting, cache invalidation strategy, and small cleanup of duplicated report fields.</w:t>
            </w:r>
          </w:p>
        </w:tc>
      </w:tr>
      <w:tr>
        <w:tc>
          <w:tcPr>
            <w:tcW w:type="dxa" w:w="2232"/>
            <w:vAlign w:val="top"/>
          </w:tcPr>
          <w:p>
            <w:r/>
            <w:r>
              <w:rPr>
                <w:b w:val="0"/>
                <w:sz w:val="16"/>
              </w:rPr>
              <w:t>claude_client.py</w:t>
            </w:r>
          </w:p>
        </w:tc>
        <w:tc>
          <w:tcPr>
            <w:tcW w:type="dxa" w:w="8280"/>
            <w:vAlign w:val="top"/>
          </w:tcPr>
          <w:p>
            <w:r/>
            <w:r>
              <w:rPr>
                <w:b w:val="0"/>
                <w:sz w:val="16"/>
              </w:rPr>
              <w:t>Acceptable low-level wrapper. Production should isolate subprocess failures, add output validation, and avoid letting untrusted text influence behavior outside structured tasks.</w:t>
            </w:r>
          </w:p>
        </w:tc>
      </w:tr>
      <w:tr>
        <w:tc>
          <w:tcPr>
            <w:tcW w:type="dxa" w:w="2232"/>
            <w:vAlign w:val="top"/>
          </w:tcPr>
          <w:p>
            <w:r/>
            <w:r>
              <w:rPr>
                <w:b w:val="0"/>
                <w:sz w:val="16"/>
              </w:rPr>
              <w:t>email_reader.py</w:t>
            </w:r>
          </w:p>
        </w:tc>
        <w:tc>
          <w:tcPr>
            <w:tcW w:type="dxa" w:w="8280"/>
            <w:vAlign w:val="top"/>
          </w:tcPr>
          <w:p>
            <w:r/>
            <w:r>
              <w:rPr>
                <w:b w:val="0"/>
                <w:sz w:val="16"/>
              </w:rPr>
              <w:t>Basic IMAP polling is fine for MVP. Needs idempotency, mailbox state tracking, reply threading, header metadata, and better failure classification.</w:t>
            </w:r>
          </w:p>
        </w:tc>
      </w:tr>
      <w:tr>
        <w:tc>
          <w:tcPr>
            <w:tcW w:type="dxa" w:w="2232"/>
            <w:vAlign w:val="top"/>
          </w:tcPr>
          <w:p>
            <w:r/>
            <w:r>
              <w:rPr>
                <w:b w:val="0"/>
                <w:sz w:val="16"/>
              </w:rPr>
              <w:t>email_sender.py</w:t>
            </w:r>
          </w:p>
        </w:tc>
        <w:tc>
          <w:tcPr>
            <w:tcW w:type="dxa" w:w="8280"/>
            <w:vAlign w:val="top"/>
          </w:tcPr>
          <w:p>
            <w:r/>
            <w:r>
              <w:rPr>
                <w:b w:val="0"/>
                <w:sz w:val="16"/>
              </w:rPr>
              <w:t>Demo guardrails are strong. Production needs approval gates, recipient resolution, delivery tracking, bounce handling, and outbound safety validation.</w:t>
            </w:r>
          </w:p>
        </w:tc>
      </w:tr>
      <w:tr>
        <w:tc>
          <w:tcPr>
            <w:tcW w:type="dxa" w:w="2232"/>
            <w:vAlign w:val="top"/>
          </w:tcPr>
          <w:p>
            <w:r/>
            <w:r>
              <w:rPr>
                <w:b w:val="0"/>
                <w:sz w:val="16"/>
              </w:rPr>
              <w:t>followup.py</w:t>
            </w:r>
          </w:p>
        </w:tc>
        <w:tc>
          <w:tcPr>
            <w:tcW w:type="dxa" w:w="8280"/>
            <w:vAlign w:val="top"/>
          </w:tcPr>
          <w:p>
            <w:r/>
            <w:r>
              <w:rPr>
                <w:b w:val="0"/>
                <w:sz w:val="16"/>
              </w:rPr>
              <w:t>Idempotency is a good sign. Business calendars, pause states, real escalation recipients, and policy-driven timing are missing.</w:t>
            </w:r>
          </w:p>
        </w:tc>
      </w:tr>
      <w:tr>
        <w:tc>
          <w:tcPr>
            <w:tcW w:type="dxa" w:w="2232"/>
            <w:vAlign w:val="top"/>
          </w:tcPr>
          <w:p>
            <w:r/>
            <w:r>
              <w:rPr>
                <w:b w:val="0"/>
                <w:sz w:val="16"/>
              </w:rPr>
              <w:t>memory.py</w:t>
            </w:r>
          </w:p>
        </w:tc>
        <w:tc>
          <w:tcPr>
            <w:tcW w:type="dxa" w:w="8280"/>
            <w:vAlign w:val="top"/>
          </w:tcPr>
          <w:p>
            <w:r/>
            <w:r>
              <w:rPr>
                <w:b w:val="0"/>
                <w:sz w:val="16"/>
              </w:rPr>
              <w:t>A good intelligence foundation. Needs entity correction tools, evidence UI, confidence, decay, and false-positive feedback.</w:t>
            </w:r>
          </w:p>
        </w:tc>
      </w:tr>
      <w:tr>
        <w:tc>
          <w:tcPr>
            <w:tcW w:type="dxa" w:w="2232"/>
            <w:vAlign w:val="top"/>
          </w:tcPr>
          <w:p>
            <w:r/>
            <w:r>
              <w:rPr>
                <w:b w:val="0"/>
                <w:sz w:val="16"/>
              </w:rPr>
              <w:t>demo_scale_harness.py</w:t>
            </w:r>
          </w:p>
        </w:tc>
        <w:tc>
          <w:tcPr>
            <w:tcW w:type="dxa" w:w="8280"/>
            <w:vAlign w:val="top"/>
          </w:tcPr>
          <w:p>
            <w:r/>
            <w:r>
              <w:rPr>
                <w:b w:val="0"/>
                <w:sz w:val="16"/>
              </w:rPr>
              <w:t>Excellent safety habit. Expand it with real redacted golden data, adversarial tests, load tests, and acceptance metrics.</w:t>
            </w:r>
          </w:p>
        </w:tc>
      </w:tr>
      <w:tr>
        <w:tc>
          <w:tcPr>
            <w:tcW w:type="dxa" w:w="2232"/>
            <w:vAlign w:val="top"/>
          </w:tcPr>
          <w:p>
            <w:r/>
            <w:r>
              <w:rPr>
                <w:b w:val="0"/>
                <w:sz w:val="16"/>
              </w:rPr>
              <w:t>pst_to_backlog_json.py</w:t>
            </w:r>
          </w:p>
        </w:tc>
        <w:tc>
          <w:tcPr>
            <w:tcW w:type="dxa" w:w="8280"/>
            <w:vAlign w:val="top"/>
          </w:tcPr>
          <w:p>
            <w:r/>
            <w:r>
              <w:rPr>
                <w:b w:val="0"/>
                <w:sz w:val="16"/>
              </w:rPr>
              <w:t>Useful bridge for Outlook data. Needs explicit verification of header fidelity, encoding, attachment policy, and message identity preservation.</w:t>
            </w:r>
          </w:p>
        </w:tc>
      </w:tr>
    </w:tbl>
    <w:p/>
    <w:p>
      <w:pPr>
        <w:pStyle w:val="Heading1"/>
      </w:pPr>
      <w:r>
        <w:rPr>
          <w:rFonts w:ascii="Aptos Display" w:hAnsi="Aptos Display"/>
          <w:color w:val="1F4E79"/>
          <w:sz w:val="36"/>
        </w:rPr>
        <w:t>5. Full Issue Register</w:t>
      </w:r>
    </w:p>
    <w:p>
      <w:pPr>
        <w:spacing w:after="120"/>
      </w:pPr>
      <w:r>
        <w:rPr>
          <w:rFonts w:ascii="Aptos" w:hAnsi="Aptos"/>
          <w:sz w:val="20"/>
        </w:rPr>
        <w:t>This register is intentionally broad. Some items are not urgent today, but they are worth recording so they do not become invisible debt.</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rPr>
          <w:tblHeader w:val="true"/>
        </w:trPr>
        <w:tc>
          <w:tcPr>
            <w:tcW w:type="dxa" w:w="504"/>
            <w:vAlign w:val="top"/>
            <w:shd w:fill="1F4E79"/>
          </w:tcPr>
          <w:p>
            <w:r/>
            <w:r>
              <w:rPr>
                <w:b/>
                <w:color w:val="FFFFFF"/>
                <w:sz w:val="14"/>
              </w:rPr>
              <w:t>#</w:t>
            </w:r>
          </w:p>
        </w:tc>
        <w:tc>
          <w:tcPr>
            <w:tcW w:type="dxa" w:w="1944"/>
            <w:vAlign w:val="top"/>
            <w:shd w:fill="1F4E79"/>
          </w:tcPr>
          <w:p>
            <w:r/>
            <w:r>
              <w:rPr>
                <w:b/>
                <w:color w:val="FFFFFF"/>
                <w:sz w:val="14"/>
              </w:rPr>
              <w:t>Area</w:t>
            </w:r>
          </w:p>
        </w:tc>
        <w:tc>
          <w:tcPr>
            <w:tcW w:type="dxa" w:w="1008"/>
            <w:vAlign w:val="top"/>
            <w:shd w:fill="1F4E79"/>
          </w:tcPr>
          <w:p>
            <w:r/>
            <w:r>
              <w:rPr>
                <w:b/>
                <w:color w:val="FFFFFF"/>
                <w:sz w:val="14"/>
              </w:rPr>
              <w:t>Severity</w:t>
            </w:r>
          </w:p>
        </w:tc>
        <w:tc>
          <w:tcPr>
            <w:tcW w:type="dxa" w:w="2880"/>
            <w:vAlign w:val="top"/>
            <w:shd w:fill="1F4E79"/>
          </w:tcPr>
          <w:p>
            <w:r/>
            <w:r>
              <w:rPr>
                <w:b/>
                <w:color w:val="FFFFFF"/>
                <w:sz w:val="14"/>
              </w:rPr>
              <w:t>Problem</w:t>
            </w:r>
          </w:p>
        </w:tc>
        <w:tc>
          <w:tcPr>
            <w:tcW w:type="dxa" w:w="4320"/>
            <w:vAlign w:val="top"/>
            <w:shd w:fill="1F4E79"/>
          </w:tcPr>
          <w:p>
            <w:r/>
            <w:r>
              <w:rPr>
                <w:b/>
                <w:color w:val="FFFFFF"/>
                <w:sz w:val="14"/>
              </w:rPr>
              <w:t>Recommendation</w:t>
            </w:r>
          </w:p>
        </w:tc>
      </w:tr>
      <w:tr>
        <w:tc>
          <w:tcPr>
            <w:tcW w:type="dxa" w:w="504"/>
            <w:vAlign w:val="top"/>
          </w:tcPr>
          <w:p>
            <w:r/>
            <w:r>
              <w:rPr>
                <w:b w:val="0"/>
                <w:sz w:val="14"/>
              </w:rPr>
              <w:t>1</w:t>
            </w:r>
          </w:p>
        </w:tc>
        <w:tc>
          <w:tcPr>
            <w:tcW w:type="dxa" w:w="1944"/>
            <w:vAlign w:val="top"/>
          </w:tcPr>
          <w:p>
            <w:r/>
            <w:r>
              <w:rPr>
                <w:b w:val="0"/>
                <w:sz w:val="14"/>
              </w:rPr>
              <w:t>Architecture and service boundaries</w:t>
            </w:r>
          </w:p>
        </w:tc>
        <w:tc>
          <w:tcPr>
            <w:tcW w:type="dxa" w:w="1008"/>
            <w:vAlign w:val="top"/>
          </w:tcPr>
          <w:p>
            <w:r/>
            <w:r>
              <w:rPr>
                <w:b w:val="0"/>
                <w:sz w:val="14"/>
              </w:rPr>
              <w:t>Blocker</w:t>
            </w:r>
          </w:p>
        </w:tc>
        <w:tc>
          <w:tcPr>
            <w:tcW w:type="dxa" w:w="2880"/>
            <w:vAlign w:val="top"/>
          </w:tcPr>
          <w:p>
            <w:r/>
            <w:r>
              <w:rPr>
                <w:b w:val="0"/>
                <w:sz w:val="14"/>
              </w:rPr>
              <w:t>One process owns too many responsibilities.</w:t>
            </w:r>
          </w:p>
        </w:tc>
        <w:tc>
          <w:tcPr>
            <w:tcW w:type="dxa" w:w="4320"/>
            <w:vAlign w:val="top"/>
          </w:tcPr>
          <w:p>
            <w:r/>
            <w:r>
              <w:rPr>
                <w:b w:val="0"/>
                <w:sz w:val="14"/>
              </w:rPr>
              <w:t>Split ingestion, classify/extract, case management, follow-up scheduling, outbound drafting, and UI into explicit boundaries, even if they remain in one repo at first.</w:t>
            </w:r>
          </w:p>
        </w:tc>
      </w:tr>
      <w:tr>
        <w:tc>
          <w:tcPr>
            <w:tcW w:type="dxa" w:w="504"/>
            <w:vAlign w:val="top"/>
          </w:tcPr>
          <w:p>
            <w:r/>
            <w:r>
              <w:rPr>
                <w:b w:val="0"/>
                <w:sz w:val="14"/>
              </w:rPr>
              <w:t>2</w:t>
            </w:r>
          </w:p>
        </w:tc>
        <w:tc>
          <w:tcPr>
            <w:tcW w:type="dxa" w:w="1944"/>
            <w:vAlign w:val="top"/>
          </w:tcPr>
          <w:p>
            <w:r/>
            <w:r>
              <w:rPr>
                <w:b w:val="0"/>
                <w:sz w:val="14"/>
              </w:rPr>
              <w:t>Architecture and service boundaries</w:t>
            </w:r>
          </w:p>
        </w:tc>
        <w:tc>
          <w:tcPr>
            <w:tcW w:type="dxa" w:w="1008"/>
            <w:vAlign w:val="top"/>
          </w:tcPr>
          <w:p>
            <w:r/>
            <w:r>
              <w:rPr>
                <w:b w:val="0"/>
                <w:sz w:val="14"/>
              </w:rPr>
              <w:t>High</w:t>
            </w:r>
          </w:p>
        </w:tc>
        <w:tc>
          <w:tcPr>
            <w:tcW w:type="dxa" w:w="2880"/>
            <w:vAlign w:val="top"/>
          </w:tcPr>
          <w:p>
            <w:r/>
            <w:r>
              <w:rPr>
                <w:b w:val="0"/>
                <w:sz w:val="14"/>
              </w:rPr>
              <w:t>There is no durable queue.</w:t>
            </w:r>
          </w:p>
        </w:tc>
        <w:tc>
          <w:tcPr>
            <w:tcW w:type="dxa" w:w="4320"/>
            <w:vAlign w:val="top"/>
          </w:tcPr>
          <w:p>
            <w:r/>
            <w:r>
              <w:rPr>
                <w:b w:val="0"/>
                <w:sz w:val="14"/>
              </w:rPr>
              <w:t>Introduce a job table or queue such as Redis Queue, Celery, Dramatiq, or a simple Postgres-backed worker queue before scaling beyond demo use.</w:t>
            </w:r>
          </w:p>
        </w:tc>
      </w:tr>
      <w:tr>
        <w:tc>
          <w:tcPr>
            <w:tcW w:type="dxa" w:w="504"/>
            <w:vAlign w:val="top"/>
          </w:tcPr>
          <w:p>
            <w:r/>
            <w:r>
              <w:rPr>
                <w:b w:val="0"/>
                <w:sz w:val="14"/>
              </w:rPr>
              <w:t>3</w:t>
            </w:r>
          </w:p>
        </w:tc>
        <w:tc>
          <w:tcPr>
            <w:tcW w:type="dxa" w:w="1944"/>
            <w:vAlign w:val="top"/>
          </w:tcPr>
          <w:p>
            <w:r/>
            <w:r>
              <w:rPr>
                <w:b w:val="0"/>
                <w:sz w:val="14"/>
              </w:rPr>
              <w:t>Architecture and service boundaries</w:t>
            </w:r>
          </w:p>
        </w:tc>
        <w:tc>
          <w:tcPr>
            <w:tcW w:type="dxa" w:w="1008"/>
            <w:vAlign w:val="top"/>
          </w:tcPr>
          <w:p>
            <w:r/>
            <w:r>
              <w:rPr>
                <w:b w:val="0"/>
                <w:sz w:val="14"/>
              </w:rPr>
              <w:t>High</w:t>
            </w:r>
          </w:p>
        </w:tc>
        <w:tc>
          <w:tcPr>
            <w:tcW w:type="dxa" w:w="2880"/>
            <w:vAlign w:val="top"/>
          </w:tcPr>
          <w:p>
            <w:r/>
            <w:r>
              <w:rPr>
                <w:b w:val="0"/>
                <w:sz w:val="14"/>
              </w:rPr>
              <w:t>Module boundaries are clean but not enforceable.</w:t>
            </w:r>
          </w:p>
        </w:tc>
        <w:tc>
          <w:tcPr>
            <w:tcW w:type="dxa" w:w="4320"/>
            <w:vAlign w:val="top"/>
          </w:tcPr>
          <w:p>
            <w:r/>
            <w:r>
              <w:rPr>
                <w:b w:val="0"/>
                <w:sz w:val="14"/>
              </w:rPr>
              <w:t>Define interfaces for classifier, extractor, case repository, contact resolver, outbound service, and AI gateway. Test against interfaces, not concrete modules.</w:t>
            </w:r>
          </w:p>
        </w:tc>
      </w:tr>
      <w:tr>
        <w:tc>
          <w:tcPr>
            <w:tcW w:type="dxa" w:w="504"/>
            <w:vAlign w:val="top"/>
          </w:tcPr>
          <w:p>
            <w:r/>
            <w:r>
              <w:rPr>
                <w:b w:val="0"/>
                <w:sz w:val="14"/>
              </w:rPr>
              <w:t>4</w:t>
            </w:r>
          </w:p>
        </w:tc>
        <w:tc>
          <w:tcPr>
            <w:tcW w:type="dxa" w:w="1944"/>
            <w:vAlign w:val="top"/>
          </w:tcPr>
          <w:p>
            <w:r/>
            <w:r>
              <w:rPr>
                <w:b w:val="0"/>
                <w:sz w:val="14"/>
              </w:rPr>
              <w:t>Architecture and service boundaries</w:t>
            </w:r>
          </w:p>
        </w:tc>
        <w:tc>
          <w:tcPr>
            <w:tcW w:type="dxa" w:w="1008"/>
            <w:vAlign w:val="top"/>
          </w:tcPr>
          <w:p>
            <w:r/>
            <w:r>
              <w:rPr>
                <w:b w:val="0"/>
                <w:sz w:val="14"/>
              </w:rPr>
              <w:t>High</w:t>
            </w:r>
          </w:p>
        </w:tc>
        <w:tc>
          <w:tcPr>
            <w:tcW w:type="dxa" w:w="2880"/>
            <w:vAlign w:val="top"/>
          </w:tcPr>
          <w:p>
            <w:r/>
            <w:r>
              <w:rPr>
                <w:b w:val="0"/>
                <w:sz w:val="14"/>
              </w:rPr>
              <w:t>The app mixes CLI concerns, runtime setup, and product flow.</w:t>
            </w:r>
          </w:p>
        </w:tc>
        <w:tc>
          <w:tcPr>
            <w:tcW w:type="dxa" w:w="4320"/>
            <w:vAlign w:val="top"/>
          </w:tcPr>
          <w:p>
            <w:r/>
            <w:r>
              <w:rPr>
                <w:b w:val="0"/>
                <w:sz w:val="14"/>
              </w:rPr>
              <w:t>Move command wiring into a CLI package and keep product services importable without side effects.</w:t>
            </w:r>
          </w:p>
        </w:tc>
      </w:tr>
      <w:tr>
        <w:tc>
          <w:tcPr>
            <w:tcW w:type="dxa" w:w="504"/>
            <w:vAlign w:val="top"/>
          </w:tcPr>
          <w:p>
            <w:r/>
            <w:r>
              <w:rPr>
                <w:b w:val="0"/>
                <w:sz w:val="14"/>
              </w:rPr>
              <w:t>5</w:t>
            </w:r>
          </w:p>
        </w:tc>
        <w:tc>
          <w:tcPr>
            <w:tcW w:type="dxa" w:w="1944"/>
            <w:vAlign w:val="top"/>
          </w:tcPr>
          <w:p>
            <w:r/>
            <w:r>
              <w:rPr>
                <w:b w:val="0"/>
                <w:sz w:val="14"/>
              </w:rPr>
              <w:t>Architecture and service boundaries</w:t>
            </w:r>
          </w:p>
        </w:tc>
        <w:tc>
          <w:tcPr>
            <w:tcW w:type="dxa" w:w="1008"/>
            <w:vAlign w:val="top"/>
          </w:tcPr>
          <w:p>
            <w:r/>
            <w:r>
              <w:rPr>
                <w:b w:val="0"/>
                <w:sz w:val="14"/>
              </w:rPr>
              <w:t>Medium</w:t>
            </w:r>
          </w:p>
        </w:tc>
        <w:tc>
          <w:tcPr>
            <w:tcW w:type="dxa" w:w="2880"/>
            <w:vAlign w:val="top"/>
          </w:tcPr>
          <w:p>
            <w:r/>
            <w:r>
              <w:rPr>
                <w:b w:val="0"/>
                <w:sz w:val="14"/>
              </w:rPr>
              <w:t>There is no explicit domain layer.</w:t>
            </w:r>
          </w:p>
        </w:tc>
        <w:tc>
          <w:tcPr>
            <w:tcW w:type="dxa" w:w="4320"/>
            <w:vAlign w:val="top"/>
          </w:tcPr>
          <w:p>
            <w:r/>
            <w:r>
              <w:rPr>
                <w:b w:val="0"/>
                <w:sz w:val="14"/>
              </w:rPr>
              <w:t>Introduce domain objects for EmailMessage, Case, CaseEvent, ReviewItem, FollowupAction, Contact, and CasePolicy.</w:t>
            </w:r>
          </w:p>
        </w:tc>
      </w:tr>
      <w:tr>
        <w:tc>
          <w:tcPr>
            <w:tcW w:type="dxa" w:w="504"/>
            <w:vAlign w:val="top"/>
          </w:tcPr>
          <w:p>
            <w:r/>
            <w:r>
              <w:rPr>
                <w:b w:val="0"/>
                <w:sz w:val="14"/>
              </w:rPr>
              <w:t>6</w:t>
            </w:r>
          </w:p>
        </w:tc>
        <w:tc>
          <w:tcPr>
            <w:tcW w:type="dxa" w:w="1944"/>
            <w:vAlign w:val="top"/>
          </w:tcPr>
          <w:p>
            <w:r/>
            <w:r>
              <w:rPr>
                <w:b w:val="0"/>
                <w:sz w:val="14"/>
              </w:rPr>
              <w:t>Architecture and service boundaries</w:t>
            </w:r>
          </w:p>
        </w:tc>
        <w:tc>
          <w:tcPr>
            <w:tcW w:type="dxa" w:w="1008"/>
            <w:vAlign w:val="top"/>
          </w:tcPr>
          <w:p>
            <w:r/>
            <w:r>
              <w:rPr>
                <w:b w:val="0"/>
                <w:sz w:val="14"/>
              </w:rPr>
              <w:t>Medium</w:t>
            </w:r>
          </w:p>
        </w:tc>
        <w:tc>
          <w:tcPr>
            <w:tcW w:type="dxa" w:w="2880"/>
            <w:vAlign w:val="top"/>
          </w:tcPr>
          <w:p>
            <w:r/>
            <w:r>
              <w:rPr>
                <w:b w:val="0"/>
                <w:sz w:val="14"/>
              </w:rPr>
              <w:t>Scheduler and web server live together.</w:t>
            </w:r>
          </w:p>
        </w:tc>
        <w:tc>
          <w:tcPr>
            <w:tcW w:type="dxa" w:w="4320"/>
            <w:vAlign w:val="top"/>
          </w:tcPr>
          <w:p>
            <w:r/>
            <w:r>
              <w:rPr>
                <w:b w:val="0"/>
                <w:sz w:val="14"/>
              </w:rPr>
              <w:t>Run scheduler and workers separately from Flask or make it explicit that the combined mode is demo-only.</w:t>
            </w:r>
          </w:p>
        </w:tc>
      </w:tr>
      <w:tr>
        <w:tc>
          <w:tcPr>
            <w:tcW w:type="dxa" w:w="504"/>
            <w:vAlign w:val="top"/>
          </w:tcPr>
          <w:p>
            <w:r/>
            <w:r>
              <w:rPr>
                <w:b w:val="0"/>
                <w:sz w:val="14"/>
              </w:rPr>
              <w:t>7</w:t>
            </w:r>
          </w:p>
        </w:tc>
        <w:tc>
          <w:tcPr>
            <w:tcW w:type="dxa" w:w="1944"/>
            <w:vAlign w:val="top"/>
          </w:tcPr>
          <w:p>
            <w:r/>
            <w:r>
              <w:rPr>
                <w:b w:val="0"/>
                <w:sz w:val="14"/>
              </w:rPr>
              <w:t>Architecture and service boundaries</w:t>
            </w:r>
          </w:p>
        </w:tc>
        <w:tc>
          <w:tcPr>
            <w:tcW w:type="dxa" w:w="1008"/>
            <w:vAlign w:val="top"/>
          </w:tcPr>
          <w:p>
            <w:r/>
            <w:r>
              <w:rPr>
                <w:b w:val="0"/>
                <w:sz w:val="14"/>
              </w:rPr>
              <w:t>Medium</w:t>
            </w:r>
          </w:p>
        </w:tc>
        <w:tc>
          <w:tcPr>
            <w:tcW w:type="dxa" w:w="2880"/>
            <w:vAlign w:val="top"/>
          </w:tcPr>
          <w:p>
            <w:r/>
            <w:r>
              <w:rPr>
                <w:b w:val="0"/>
                <w:sz w:val="14"/>
              </w:rPr>
              <w:t>There is no deployment topology.</w:t>
            </w:r>
          </w:p>
        </w:tc>
        <w:tc>
          <w:tcPr>
            <w:tcW w:type="dxa" w:w="4320"/>
            <w:vAlign w:val="top"/>
          </w:tcPr>
          <w:p>
            <w:r/>
            <w:r>
              <w:rPr>
                <w:b w:val="0"/>
                <w:sz w:val="14"/>
              </w:rPr>
              <w:t>Document local demo, internal pilot, and production topologies separately so safety assumptions are not blurred.</w:t>
            </w:r>
          </w:p>
        </w:tc>
      </w:tr>
      <w:tr>
        <w:tc>
          <w:tcPr>
            <w:tcW w:type="dxa" w:w="504"/>
            <w:vAlign w:val="top"/>
          </w:tcPr>
          <w:p>
            <w:r/>
            <w:r>
              <w:rPr>
                <w:b w:val="0"/>
                <w:sz w:val="14"/>
              </w:rPr>
              <w:t>8</w:t>
            </w:r>
          </w:p>
        </w:tc>
        <w:tc>
          <w:tcPr>
            <w:tcW w:type="dxa" w:w="1944"/>
            <w:vAlign w:val="top"/>
          </w:tcPr>
          <w:p>
            <w:r/>
            <w:r>
              <w:rPr>
                <w:b w:val="0"/>
                <w:sz w:val="14"/>
              </w:rPr>
              <w:t>Case taxonomy and business policy</w:t>
            </w:r>
          </w:p>
        </w:tc>
        <w:tc>
          <w:tcPr>
            <w:tcW w:type="dxa" w:w="1008"/>
            <w:vAlign w:val="top"/>
          </w:tcPr>
          <w:p>
            <w:r/>
            <w:r>
              <w:rPr>
                <w:b w:val="0"/>
                <w:sz w:val="14"/>
              </w:rPr>
              <w:t>Blocker</w:t>
            </w:r>
          </w:p>
        </w:tc>
        <w:tc>
          <w:tcPr>
            <w:tcW w:type="dxa" w:w="2880"/>
            <w:vAlign w:val="top"/>
          </w:tcPr>
          <w:p>
            <w:r/>
            <w:r>
              <w:rPr>
                <w:b w:val="0"/>
                <w:sz w:val="14"/>
              </w:rPr>
              <w:t>Case rules are hard-coded.</w:t>
            </w:r>
          </w:p>
        </w:tc>
        <w:tc>
          <w:tcPr>
            <w:tcW w:type="dxa" w:w="4320"/>
            <w:vAlign w:val="top"/>
          </w:tcPr>
          <w:p>
            <w:r/>
            <w:r>
              <w:rPr>
                <w:b w:val="0"/>
                <w:sz w:val="14"/>
              </w:rPr>
              <w:t>Move supported case types, required fields, grouping rules, priorities, owners, escalation stages, and closure criteria into a versioned taxonomy file.</w:t>
            </w:r>
          </w:p>
        </w:tc>
      </w:tr>
      <w:tr>
        <w:tc>
          <w:tcPr>
            <w:tcW w:type="dxa" w:w="504"/>
            <w:vAlign w:val="top"/>
          </w:tcPr>
          <w:p>
            <w:r/>
            <w:r>
              <w:rPr>
                <w:b w:val="0"/>
                <w:sz w:val="14"/>
              </w:rPr>
              <w:t>9</w:t>
            </w:r>
          </w:p>
        </w:tc>
        <w:tc>
          <w:tcPr>
            <w:tcW w:type="dxa" w:w="1944"/>
            <w:vAlign w:val="top"/>
          </w:tcPr>
          <w:p>
            <w:r/>
            <w:r>
              <w:rPr>
                <w:b w:val="0"/>
                <w:sz w:val="14"/>
              </w:rPr>
              <w:t>Case taxonomy and business policy</w:t>
            </w:r>
          </w:p>
        </w:tc>
        <w:tc>
          <w:tcPr>
            <w:tcW w:type="dxa" w:w="1008"/>
            <w:vAlign w:val="top"/>
          </w:tcPr>
          <w:p>
            <w:r/>
            <w:r>
              <w:rPr>
                <w:b w:val="0"/>
                <w:sz w:val="14"/>
              </w:rPr>
              <w:t>Blocker</w:t>
            </w:r>
          </w:p>
        </w:tc>
        <w:tc>
          <w:tcPr>
            <w:tcW w:type="dxa" w:w="2880"/>
            <w:vAlign w:val="top"/>
          </w:tcPr>
          <w:p>
            <w:r/>
            <w:r>
              <w:rPr>
                <w:b w:val="0"/>
                <w:sz w:val="14"/>
              </w:rPr>
              <w:t>No policy version is stored on cases.</w:t>
            </w:r>
          </w:p>
        </w:tc>
        <w:tc>
          <w:tcPr>
            <w:tcW w:type="dxa" w:w="4320"/>
            <w:vAlign w:val="top"/>
          </w:tcPr>
          <w:p>
            <w:r/>
            <w:r>
              <w:rPr>
                <w:b w:val="0"/>
                <w:sz w:val="14"/>
              </w:rPr>
              <w:t>Persist policy_version and parser_version on every case and extracted field so future behavior changes do not corrupt historical interpretation.</w:t>
            </w:r>
          </w:p>
        </w:tc>
      </w:tr>
      <w:tr>
        <w:tc>
          <w:tcPr>
            <w:tcW w:type="dxa" w:w="504"/>
            <w:vAlign w:val="top"/>
          </w:tcPr>
          <w:p>
            <w:r/>
            <w:r>
              <w:rPr>
                <w:b w:val="0"/>
                <w:sz w:val="14"/>
              </w:rPr>
              <w:t>10</w:t>
            </w:r>
          </w:p>
        </w:tc>
        <w:tc>
          <w:tcPr>
            <w:tcW w:type="dxa" w:w="1944"/>
            <w:vAlign w:val="top"/>
          </w:tcPr>
          <w:p>
            <w:r/>
            <w:r>
              <w:rPr>
                <w:b w:val="0"/>
                <w:sz w:val="14"/>
              </w:rPr>
              <w:t>Case taxonomy and business policy</w:t>
            </w:r>
          </w:p>
        </w:tc>
        <w:tc>
          <w:tcPr>
            <w:tcW w:type="dxa" w:w="1008"/>
            <w:vAlign w:val="top"/>
          </w:tcPr>
          <w:p>
            <w:r/>
            <w:r>
              <w:rPr>
                <w:b w:val="0"/>
                <w:sz w:val="14"/>
              </w:rPr>
              <w:t>High</w:t>
            </w:r>
          </w:p>
        </w:tc>
        <w:tc>
          <w:tcPr>
            <w:tcW w:type="dxa" w:w="2880"/>
            <w:vAlign w:val="top"/>
          </w:tcPr>
          <w:p>
            <w:r/>
            <w:r>
              <w:rPr>
                <w:b w:val="0"/>
                <w:sz w:val="14"/>
              </w:rPr>
              <w:t>Priority is too coarse and partly inconsistent.</w:t>
            </w:r>
          </w:p>
        </w:tc>
        <w:tc>
          <w:tcPr>
            <w:tcW w:type="dxa" w:w="4320"/>
            <w:vAlign w:val="top"/>
          </w:tcPr>
          <w:p>
            <w:r/>
            <w:r>
              <w:rPr>
                <w:b w:val="0"/>
                <w:sz w:val="14"/>
              </w:rPr>
              <w:t>Separate severity, urgency, SLA, routing level, and business impact. Do not use one priority string to mean all of them.</w:t>
            </w:r>
          </w:p>
        </w:tc>
      </w:tr>
      <w:tr>
        <w:tc>
          <w:tcPr>
            <w:tcW w:type="dxa" w:w="504"/>
            <w:vAlign w:val="top"/>
          </w:tcPr>
          <w:p>
            <w:r/>
            <w:r>
              <w:rPr>
                <w:b w:val="0"/>
                <w:sz w:val="14"/>
              </w:rPr>
              <w:t>11</w:t>
            </w:r>
          </w:p>
        </w:tc>
        <w:tc>
          <w:tcPr>
            <w:tcW w:type="dxa" w:w="1944"/>
            <w:vAlign w:val="top"/>
          </w:tcPr>
          <w:p>
            <w:r/>
            <w:r>
              <w:rPr>
                <w:b w:val="0"/>
                <w:sz w:val="14"/>
              </w:rPr>
              <w:t>Case taxonomy and business policy</w:t>
            </w:r>
          </w:p>
        </w:tc>
        <w:tc>
          <w:tcPr>
            <w:tcW w:type="dxa" w:w="1008"/>
            <w:vAlign w:val="top"/>
          </w:tcPr>
          <w:p>
            <w:r/>
            <w:r>
              <w:rPr>
                <w:b w:val="0"/>
                <w:sz w:val="14"/>
              </w:rPr>
              <w:t>High</w:t>
            </w:r>
          </w:p>
        </w:tc>
        <w:tc>
          <w:tcPr>
            <w:tcW w:type="dxa" w:w="2880"/>
            <w:vAlign w:val="top"/>
          </w:tcPr>
          <w:p>
            <w:r/>
            <w:r>
              <w:rPr>
                <w:b w:val="0"/>
                <w:sz w:val="14"/>
              </w:rPr>
              <w:t>Closure rules are underspecified.</w:t>
            </w:r>
          </w:p>
        </w:tc>
        <w:tc>
          <w:tcPr>
            <w:tcW w:type="dxa" w:w="4320"/>
            <w:vAlign w:val="top"/>
          </w:tcPr>
          <w:p>
            <w:r/>
            <w:r>
              <w:rPr>
                <w:b w:val="0"/>
                <w:sz w:val="14"/>
              </w:rPr>
              <w:t>Define closing evidence by case type: contractor statement, report submitted, dashboard state, AHJ acceptance, client confirmation, or manual override.</w:t>
            </w:r>
          </w:p>
        </w:tc>
      </w:tr>
      <w:tr>
        <w:tc>
          <w:tcPr>
            <w:tcW w:type="dxa" w:w="504"/>
            <w:vAlign w:val="top"/>
          </w:tcPr>
          <w:p>
            <w:r/>
            <w:r>
              <w:rPr>
                <w:b w:val="0"/>
                <w:sz w:val="14"/>
              </w:rPr>
              <w:t>12</w:t>
            </w:r>
          </w:p>
        </w:tc>
        <w:tc>
          <w:tcPr>
            <w:tcW w:type="dxa" w:w="1944"/>
            <w:vAlign w:val="top"/>
          </w:tcPr>
          <w:p>
            <w:r/>
            <w:r>
              <w:rPr>
                <w:b w:val="0"/>
                <w:sz w:val="14"/>
              </w:rPr>
              <w:t>Case taxonomy and business policy</w:t>
            </w:r>
          </w:p>
        </w:tc>
        <w:tc>
          <w:tcPr>
            <w:tcW w:type="dxa" w:w="1008"/>
            <w:vAlign w:val="top"/>
          </w:tcPr>
          <w:p>
            <w:r/>
            <w:r>
              <w:rPr>
                <w:b w:val="0"/>
                <w:sz w:val="14"/>
              </w:rPr>
              <w:t>High</w:t>
            </w:r>
          </w:p>
        </w:tc>
        <w:tc>
          <w:tcPr>
            <w:tcW w:type="dxa" w:w="2880"/>
            <w:vAlign w:val="top"/>
          </w:tcPr>
          <w:p>
            <w:r/>
            <w:r>
              <w:rPr>
                <w:b w:val="0"/>
                <w:sz w:val="14"/>
              </w:rPr>
              <w:t>Escalation is not policy-rich enough.</w:t>
            </w:r>
          </w:p>
        </w:tc>
        <w:tc>
          <w:tcPr>
            <w:tcW w:type="dxa" w:w="4320"/>
            <w:vAlign w:val="top"/>
          </w:tcPr>
          <w:p>
            <w:r/>
            <w:r>
              <w:rPr>
                <w:b w:val="0"/>
                <w:sz w:val="14"/>
              </w:rPr>
              <w:t>Model who gets notified at each stage, what message is sent, what timer starts, and what evidence stops the timer.</w:t>
            </w:r>
          </w:p>
        </w:tc>
      </w:tr>
      <w:tr>
        <w:tc>
          <w:tcPr>
            <w:tcW w:type="dxa" w:w="504"/>
            <w:vAlign w:val="top"/>
          </w:tcPr>
          <w:p>
            <w:r/>
            <w:r>
              <w:rPr>
                <w:b w:val="0"/>
                <w:sz w:val="14"/>
              </w:rPr>
              <w:t>13</w:t>
            </w:r>
          </w:p>
        </w:tc>
        <w:tc>
          <w:tcPr>
            <w:tcW w:type="dxa" w:w="1944"/>
            <w:vAlign w:val="top"/>
          </w:tcPr>
          <w:p>
            <w:r/>
            <w:r>
              <w:rPr>
                <w:b w:val="0"/>
                <w:sz w:val="14"/>
              </w:rPr>
              <w:t>Case taxonomy and business policy</w:t>
            </w:r>
          </w:p>
        </w:tc>
        <w:tc>
          <w:tcPr>
            <w:tcW w:type="dxa" w:w="1008"/>
            <w:vAlign w:val="top"/>
          </w:tcPr>
          <w:p>
            <w:r/>
            <w:r>
              <w:rPr>
                <w:b w:val="0"/>
                <w:sz w:val="14"/>
              </w:rPr>
              <w:t>Medium</w:t>
            </w:r>
          </w:p>
        </w:tc>
        <w:tc>
          <w:tcPr>
            <w:tcW w:type="dxa" w:w="2880"/>
            <w:vAlign w:val="top"/>
          </w:tcPr>
          <w:p>
            <w:r/>
            <w:r>
              <w:rPr>
                <w:b w:val="0"/>
                <w:sz w:val="14"/>
              </w:rPr>
              <w:t>Taxonomy coverage is narrow.</w:t>
            </w:r>
          </w:p>
        </w:tc>
        <w:tc>
          <w:tcPr>
            <w:tcW w:type="dxa" w:w="4320"/>
            <w:vAlign w:val="top"/>
          </w:tcPr>
          <w:p>
            <w:r/>
            <w:r>
              <w:rPr>
                <w:b w:val="0"/>
                <w:sz w:val="14"/>
              </w:rPr>
              <w:t>Add planned families such as callbacks, uptime, MTBC, licenses, permits, AHJ directives, report deficiencies, no-car-running, and consultant report workflows.</w:t>
            </w:r>
          </w:p>
        </w:tc>
      </w:tr>
      <w:tr>
        <w:tc>
          <w:tcPr>
            <w:tcW w:type="dxa" w:w="504"/>
            <w:vAlign w:val="top"/>
          </w:tcPr>
          <w:p>
            <w:r/>
            <w:r>
              <w:rPr>
                <w:b w:val="0"/>
                <w:sz w:val="14"/>
              </w:rPr>
              <w:t>14</w:t>
            </w:r>
          </w:p>
        </w:tc>
        <w:tc>
          <w:tcPr>
            <w:tcW w:type="dxa" w:w="1944"/>
            <w:vAlign w:val="top"/>
          </w:tcPr>
          <w:p>
            <w:r/>
            <w:r>
              <w:rPr>
                <w:b w:val="0"/>
                <w:sz w:val="14"/>
              </w:rPr>
              <w:t>Case taxonomy and business policy</w:t>
            </w:r>
          </w:p>
        </w:tc>
        <w:tc>
          <w:tcPr>
            <w:tcW w:type="dxa" w:w="1008"/>
            <w:vAlign w:val="top"/>
          </w:tcPr>
          <w:p>
            <w:r/>
            <w:r>
              <w:rPr>
                <w:b w:val="0"/>
                <w:sz w:val="14"/>
              </w:rPr>
              <w:t>Medium</w:t>
            </w:r>
          </w:p>
        </w:tc>
        <w:tc>
          <w:tcPr>
            <w:tcW w:type="dxa" w:w="2880"/>
            <w:vAlign w:val="top"/>
          </w:tcPr>
          <w:p>
            <w:r/>
            <w:r>
              <w:rPr>
                <w:b w:val="0"/>
                <w:sz w:val="14"/>
              </w:rPr>
              <w:t>No dry-run policy simulator exists.</w:t>
            </w:r>
          </w:p>
        </w:tc>
        <w:tc>
          <w:tcPr>
            <w:tcW w:type="dxa" w:w="4320"/>
            <w:vAlign w:val="top"/>
          </w:tcPr>
          <w:p>
            <w:r/>
            <w:r>
              <w:rPr>
                <w:b w:val="0"/>
                <w:sz w:val="14"/>
              </w:rPr>
              <w:t>Build a simulator that runs historical emails through proposed taxonomy changes and shows acceptance, review, grouping, and routing deltas.</w:t>
            </w:r>
          </w:p>
        </w:tc>
      </w:tr>
      <w:tr>
        <w:tc>
          <w:tcPr>
            <w:tcW w:type="dxa" w:w="504"/>
            <w:vAlign w:val="top"/>
          </w:tcPr>
          <w:p>
            <w:r/>
            <w:r>
              <w:rPr>
                <w:b w:val="0"/>
                <w:sz w:val="14"/>
              </w:rPr>
              <w:t>15</w:t>
            </w:r>
          </w:p>
        </w:tc>
        <w:tc>
          <w:tcPr>
            <w:tcW w:type="dxa" w:w="1944"/>
            <w:vAlign w:val="top"/>
          </w:tcPr>
          <w:p>
            <w:r/>
            <w:r>
              <w:rPr>
                <w:b w:val="0"/>
                <w:sz w:val="14"/>
              </w:rPr>
              <w:t>Classification</w:t>
            </w:r>
          </w:p>
        </w:tc>
        <w:tc>
          <w:tcPr>
            <w:tcW w:type="dxa" w:w="1008"/>
            <w:vAlign w:val="top"/>
          </w:tcPr>
          <w:p>
            <w:r/>
            <w:r>
              <w:rPr>
                <w:b w:val="0"/>
                <w:sz w:val="14"/>
              </w:rPr>
              <w:t>High</w:t>
            </w:r>
          </w:p>
        </w:tc>
        <w:tc>
          <w:tcPr>
            <w:tcW w:type="dxa" w:w="2880"/>
            <w:vAlign w:val="top"/>
          </w:tcPr>
          <w:p>
            <w:r/>
            <w:r>
              <w:rPr>
                <w:b w:val="0"/>
                <w:sz w:val="14"/>
              </w:rPr>
              <w:t>Subject and phrase rules are brittle.</w:t>
            </w:r>
          </w:p>
        </w:tc>
        <w:tc>
          <w:tcPr>
            <w:tcW w:type="dxa" w:w="4320"/>
            <w:vAlign w:val="top"/>
          </w:tcPr>
          <w:p>
            <w:r/>
            <w:r>
              <w:rPr>
                <w:b w:val="0"/>
                <w:sz w:val="14"/>
              </w:rPr>
              <w:t>Create a classifier registry with patterns, negative patterns, examples, confidence, tests, and owner notes per case family.</w:t>
            </w:r>
          </w:p>
        </w:tc>
      </w:tr>
      <w:tr>
        <w:tc>
          <w:tcPr>
            <w:tcW w:type="dxa" w:w="504"/>
            <w:vAlign w:val="top"/>
          </w:tcPr>
          <w:p>
            <w:r/>
            <w:r>
              <w:rPr>
                <w:b w:val="0"/>
                <w:sz w:val="14"/>
              </w:rPr>
              <w:t>16</w:t>
            </w:r>
          </w:p>
        </w:tc>
        <w:tc>
          <w:tcPr>
            <w:tcW w:type="dxa" w:w="1944"/>
            <w:vAlign w:val="top"/>
          </w:tcPr>
          <w:p>
            <w:r/>
            <w:r>
              <w:rPr>
                <w:b w:val="0"/>
                <w:sz w:val="14"/>
              </w:rPr>
              <w:t>Classification</w:t>
            </w:r>
          </w:p>
        </w:tc>
        <w:tc>
          <w:tcPr>
            <w:tcW w:type="dxa" w:w="1008"/>
            <w:vAlign w:val="top"/>
          </w:tcPr>
          <w:p>
            <w:r/>
            <w:r>
              <w:rPr>
                <w:b w:val="0"/>
                <w:sz w:val="14"/>
              </w:rPr>
              <w:t>High</w:t>
            </w:r>
          </w:p>
        </w:tc>
        <w:tc>
          <w:tcPr>
            <w:tcW w:type="dxa" w:w="2880"/>
            <w:vAlign w:val="top"/>
          </w:tcPr>
          <w:p>
            <w:r/>
            <w:r>
              <w:rPr>
                <w:b w:val="0"/>
                <w:sz w:val="14"/>
              </w:rPr>
              <w:t>Unknown handling creates review cases one-by-one.</w:t>
            </w:r>
          </w:p>
        </w:tc>
        <w:tc>
          <w:tcPr>
            <w:tcW w:type="dxa" w:w="4320"/>
            <w:vAlign w:val="top"/>
          </w:tcPr>
          <w:p>
            <w:r/>
            <w:r>
              <w:rPr>
                <w:b w:val="0"/>
                <w:sz w:val="14"/>
              </w:rPr>
              <w:t>Group unknowns by normalized subject family, sender, building hints, and body signature so reviewers can resolve batches.</w:t>
            </w:r>
          </w:p>
        </w:tc>
      </w:tr>
      <w:tr>
        <w:tc>
          <w:tcPr>
            <w:tcW w:type="dxa" w:w="504"/>
            <w:vAlign w:val="top"/>
          </w:tcPr>
          <w:p>
            <w:r/>
            <w:r>
              <w:rPr>
                <w:b w:val="0"/>
                <w:sz w:val="14"/>
              </w:rPr>
              <w:t>17</w:t>
            </w:r>
          </w:p>
        </w:tc>
        <w:tc>
          <w:tcPr>
            <w:tcW w:type="dxa" w:w="1944"/>
            <w:vAlign w:val="top"/>
          </w:tcPr>
          <w:p>
            <w:r/>
            <w:r>
              <w:rPr>
                <w:b w:val="0"/>
                <w:sz w:val="14"/>
              </w:rPr>
              <w:t>Classification</w:t>
            </w:r>
          </w:p>
        </w:tc>
        <w:tc>
          <w:tcPr>
            <w:tcW w:type="dxa" w:w="1008"/>
            <w:vAlign w:val="top"/>
          </w:tcPr>
          <w:p>
            <w:r/>
            <w:r>
              <w:rPr>
                <w:b w:val="0"/>
                <w:sz w:val="14"/>
              </w:rPr>
              <w:t>High</w:t>
            </w:r>
          </w:p>
        </w:tc>
        <w:tc>
          <w:tcPr>
            <w:tcW w:type="dxa" w:w="2880"/>
            <w:vAlign w:val="top"/>
          </w:tcPr>
          <w:p>
            <w:r/>
            <w:r>
              <w:rPr>
                <w:b w:val="0"/>
                <w:sz w:val="14"/>
              </w:rPr>
              <w:t>Unsupported KPI handling is passive.</w:t>
            </w:r>
          </w:p>
        </w:tc>
        <w:tc>
          <w:tcPr>
            <w:tcW w:type="dxa" w:w="4320"/>
            <w:vAlign w:val="top"/>
          </w:tcPr>
          <w:p>
            <w:r/>
            <w:r>
              <w:rPr>
                <w:b w:val="0"/>
                <w:sz w:val="14"/>
              </w:rPr>
              <w:t>Turn unsupported-family counts into a backlog of new parser families, ranked by volume and operational value.</w:t>
            </w:r>
          </w:p>
        </w:tc>
      </w:tr>
      <w:tr>
        <w:tc>
          <w:tcPr>
            <w:tcW w:type="dxa" w:w="504"/>
            <w:vAlign w:val="top"/>
          </w:tcPr>
          <w:p>
            <w:r/>
            <w:r>
              <w:rPr>
                <w:b w:val="0"/>
                <w:sz w:val="14"/>
              </w:rPr>
              <w:t>18</w:t>
            </w:r>
          </w:p>
        </w:tc>
        <w:tc>
          <w:tcPr>
            <w:tcW w:type="dxa" w:w="1944"/>
            <w:vAlign w:val="top"/>
          </w:tcPr>
          <w:p>
            <w:r/>
            <w:r>
              <w:rPr>
                <w:b w:val="0"/>
                <w:sz w:val="14"/>
              </w:rPr>
              <w:t>Classification</w:t>
            </w:r>
          </w:p>
        </w:tc>
        <w:tc>
          <w:tcPr>
            <w:tcW w:type="dxa" w:w="1008"/>
            <w:vAlign w:val="top"/>
          </w:tcPr>
          <w:p>
            <w:r/>
            <w:r>
              <w:rPr>
                <w:b w:val="0"/>
                <w:sz w:val="14"/>
              </w:rPr>
              <w:t>Medium</w:t>
            </w:r>
          </w:p>
        </w:tc>
        <w:tc>
          <w:tcPr>
            <w:tcW w:type="dxa" w:w="2880"/>
            <w:vAlign w:val="top"/>
          </w:tcPr>
          <w:p>
            <w:r/>
            <w:r>
              <w:rPr>
                <w:b w:val="0"/>
                <w:sz w:val="14"/>
              </w:rPr>
              <w:t>Noise filtering is too simple.</w:t>
            </w:r>
          </w:p>
        </w:tc>
        <w:tc>
          <w:tcPr>
            <w:tcW w:type="dxa" w:w="4320"/>
            <w:vAlign w:val="top"/>
          </w:tcPr>
          <w:p>
            <w:r/>
            <w:r>
              <w:rPr>
                <w:b w:val="0"/>
                <w:sz w:val="14"/>
              </w:rPr>
              <w:t>Use sender allowlists, unsubscribe headers, auto-submitted headers, message type metadata, and body signatures in addition to subject phrases.</w:t>
            </w:r>
          </w:p>
        </w:tc>
      </w:tr>
      <w:tr>
        <w:tc>
          <w:tcPr>
            <w:tcW w:type="dxa" w:w="504"/>
            <w:vAlign w:val="top"/>
          </w:tcPr>
          <w:p>
            <w:r/>
            <w:r>
              <w:rPr>
                <w:b w:val="0"/>
                <w:sz w:val="14"/>
              </w:rPr>
              <w:t>19</w:t>
            </w:r>
          </w:p>
        </w:tc>
        <w:tc>
          <w:tcPr>
            <w:tcW w:type="dxa" w:w="1944"/>
            <w:vAlign w:val="top"/>
          </w:tcPr>
          <w:p>
            <w:r/>
            <w:r>
              <w:rPr>
                <w:b w:val="0"/>
                <w:sz w:val="14"/>
              </w:rPr>
              <w:t>Classification</w:t>
            </w:r>
          </w:p>
        </w:tc>
        <w:tc>
          <w:tcPr>
            <w:tcW w:type="dxa" w:w="1008"/>
            <w:vAlign w:val="top"/>
          </w:tcPr>
          <w:p>
            <w:r/>
            <w:r>
              <w:rPr>
                <w:b w:val="0"/>
                <w:sz w:val="14"/>
              </w:rPr>
              <w:t>Medium</w:t>
            </w:r>
          </w:p>
        </w:tc>
        <w:tc>
          <w:tcPr>
            <w:tcW w:type="dxa" w:w="2880"/>
            <w:vAlign w:val="top"/>
          </w:tcPr>
          <w:p>
            <w:r/>
            <w:r>
              <w:rPr>
                <w:b w:val="0"/>
                <w:sz w:val="14"/>
              </w:rPr>
              <w:t>There is no confidence calibration report.</w:t>
            </w:r>
          </w:p>
        </w:tc>
        <w:tc>
          <w:tcPr>
            <w:tcW w:type="dxa" w:w="4320"/>
            <w:vAlign w:val="top"/>
          </w:tcPr>
          <w:p>
            <w:r/>
            <w:r>
              <w:rPr>
                <w:b w:val="0"/>
                <w:sz w:val="14"/>
              </w:rPr>
              <w:t>Track deterministic confidence versus human corrections so confidence scores mean something.</w:t>
            </w:r>
          </w:p>
        </w:tc>
      </w:tr>
      <w:tr>
        <w:tc>
          <w:tcPr>
            <w:tcW w:type="dxa" w:w="504"/>
            <w:vAlign w:val="top"/>
          </w:tcPr>
          <w:p>
            <w:r/>
            <w:r>
              <w:rPr>
                <w:b w:val="0"/>
                <w:sz w:val="14"/>
              </w:rPr>
              <w:t>20</w:t>
            </w:r>
          </w:p>
        </w:tc>
        <w:tc>
          <w:tcPr>
            <w:tcW w:type="dxa" w:w="1944"/>
            <w:vAlign w:val="top"/>
          </w:tcPr>
          <w:p>
            <w:r/>
            <w:r>
              <w:rPr>
                <w:b w:val="0"/>
                <w:sz w:val="14"/>
              </w:rPr>
              <w:t>Classification</w:t>
            </w:r>
          </w:p>
        </w:tc>
        <w:tc>
          <w:tcPr>
            <w:tcW w:type="dxa" w:w="1008"/>
            <w:vAlign w:val="top"/>
          </w:tcPr>
          <w:p>
            <w:r/>
            <w:r>
              <w:rPr>
                <w:b w:val="0"/>
                <w:sz w:val="14"/>
              </w:rPr>
              <w:t>Medium</w:t>
            </w:r>
          </w:p>
        </w:tc>
        <w:tc>
          <w:tcPr>
            <w:tcW w:type="dxa" w:w="2880"/>
            <w:vAlign w:val="top"/>
          </w:tcPr>
          <w:p>
            <w:r/>
            <w:r>
              <w:rPr>
                <w:b w:val="0"/>
                <w:sz w:val="14"/>
              </w:rPr>
              <w:t>Prompt injection and classification are coupled.</w:t>
            </w:r>
          </w:p>
        </w:tc>
        <w:tc>
          <w:tcPr>
            <w:tcW w:type="dxa" w:w="4320"/>
            <w:vAlign w:val="top"/>
          </w:tcPr>
          <w:p>
            <w:r/>
            <w:r>
              <w:rPr>
                <w:b w:val="0"/>
                <w:sz w:val="14"/>
              </w:rPr>
              <w:t>Keep security flags separate from semantic classification. A real KPI email can contain suspicious text and still need safe handling.</w:t>
            </w:r>
          </w:p>
        </w:tc>
      </w:tr>
      <w:tr>
        <w:tc>
          <w:tcPr>
            <w:tcW w:type="dxa" w:w="504"/>
            <w:vAlign w:val="top"/>
          </w:tcPr>
          <w:p>
            <w:r/>
            <w:r>
              <w:rPr>
                <w:b w:val="0"/>
                <w:sz w:val="14"/>
              </w:rPr>
              <w:t>21</w:t>
            </w:r>
          </w:p>
        </w:tc>
        <w:tc>
          <w:tcPr>
            <w:tcW w:type="dxa" w:w="1944"/>
            <w:vAlign w:val="top"/>
          </w:tcPr>
          <w:p>
            <w:r/>
            <w:r>
              <w:rPr>
                <w:b w:val="0"/>
                <w:sz w:val="14"/>
              </w:rPr>
              <w:t>Classification</w:t>
            </w:r>
          </w:p>
        </w:tc>
        <w:tc>
          <w:tcPr>
            <w:tcW w:type="dxa" w:w="1008"/>
            <w:vAlign w:val="top"/>
          </w:tcPr>
          <w:p>
            <w:r/>
            <w:r>
              <w:rPr>
                <w:b w:val="0"/>
                <w:sz w:val="14"/>
              </w:rPr>
              <w:t>Low</w:t>
            </w:r>
          </w:p>
        </w:tc>
        <w:tc>
          <w:tcPr>
            <w:tcW w:type="dxa" w:w="2880"/>
            <w:vAlign w:val="top"/>
          </w:tcPr>
          <w:p>
            <w:r/>
            <w:r>
              <w:rPr>
                <w:b w:val="0"/>
                <w:sz w:val="14"/>
              </w:rPr>
              <w:t>No multilingual strategy exists.</w:t>
            </w:r>
          </w:p>
        </w:tc>
        <w:tc>
          <w:tcPr>
            <w:tcW w:type="dxa" w:w="4320"/>
            <w:vAlign w:val="top"/>
          </w:tcPr>
          <w:p>
            <w:r/>
            <w:r>
              <w:rPr>
                <w:b w:val="0"/>
                <w:sz w:val="14"/>
              </w:rPr>
              <w:t>Add French and bilingual subject/body variants if Solucore receives bilingual operational emails.</w:t>
            </w:r>
          </w:p>
        </w:tc>
      </w:tr>
      <w:tr>
        <w:tc>
          <w:tcPr>
            <w:tcW w:type="dxa" w:w="504"/>
            <w:vAlign w:val="top"/>
          </w:tcPr>
          <w:p>
            <w:r/>
            <w:r>
              <w:rPr>
                <w:b w:val="0"/>
                <w:sz w:val="14"/>
              </w:rPr>
              <w:t>22</w:t>
            </w:r>
          </w:p>
        </w:tc>
        <w:tc>
          <w:tcPr>
            <w:tcW w:type="dxa" w:w="1944"/>
            <w:vAlign w:val="top"/>
          </w:tcPr>
          <w:p>
            <w:r/>
            <w:r>
              <w:rPr>
                <w:b w:val="0"/>
                <w:sz w:val="14"/>
              </w:rPr>
              <w:t>Extraction and parsing</w:t>
            </w:r>
          </w:p>
        </w:tc>
        <w:tc>
          <w:tcPr>
            <w:tcW w:type="dxa" w:w="1008"/>
            <w:vAlign w:val="top"/>
          </w:tcPr>
          <w:p>
            <w:r/>
            <w:r>
              <w:rPr>
                <w:b w:val="0"/>
                <w:sz w:val="14"/>
              </w:rPr>
              <w:t>Blocker</w:t>
            </w:r>
          </w:p>
        </w:tc>
        <w:tc>
          <w:tcPr>
            <w:tcW w:type="dxa" w:w="2880"/>
            <w:vAlign w:val="top"/>
          </w:tcPr>
          <w:p>
            <w:r/>
            <w:r>
              <w:rPr>
                <w:b w:val="0"/>
                <w:sz w:val="14"/>
              </w:rPr>
              <w:t>Required-field failure is too binary.</w:t>
            </w:r>
          </w:p>
        </w:tc>
        <w:tc>
          <w:tcPr>
            <w:tcW w:type="dxa" w:w="4320"/>
            <w:vAlign w:val="top"/>
          </w:tcPr>
          <w:p>
            <w:r/>
            <w:r>
              <w:rPr>
                <w:b w:val="0"/>
                <w:sz w:val="14"/>
              </w:rPr>
              <w:t>Allow partial case creation when grouping and routing are safe, while separately flagging missing details for repair.</w:t>
            </w:r>
          </w:p>
        </w:tc>
      </w:tr>
      <w:tr>
        <w:tc>
          <w:tcPr>
            <w:tcW w:type="dxa" w:w="504"/>
            <w:vAlign w:val="top"/>
          </w:tcPr>
          <w:p>
            <w:r/>
            <w:r>
              <w:rPr>
                <w:b w:val="0"/>
                <w:sz w:val="14"/>
              </w:rPr>
              <w:t>23</w:t>
            </w:r>
          </w:p>
        </w:tc>
        <w:tc>
          <w:tcPr>
            <w:tcW w:type="dxa" w:w="1944"/>
            <w:vAlign w:val="top"/>
          </w:tcPr>
          <w:p>
            <w:r/>
            <w:r>
              <w:rPr>
                <w:b w:val="0"/>
                <w:sz w:val="14"/>
              </w:rPr>
              <w:t>Extraction and parsing</w:t>
            </w:r>
          </w:p>
        </w:tc>
        <w:tc>
          <w:tcPr>
            <w:tcW w:type="dxa" w:w="1008"/>
            <w:vAlign w:val="top"/>
          </w:tcPr>
          <w:p>
            <w:r/>
            <w:r>
              <w:rPr>
                <w:b w:val="0"/>
                <w:sz w:val="14"/>
              </w:rPr>
              <w:t>High</w:t>
            </w:r>
          </w:p>
        </w:tc>
        <w:tc>
          <w:tcPr>
            <w:tcW w:type="dxa" w:w="2880"/>
            <w:vAlign w:val="top"/>
          </w:tcPr>
          <w:p>
            <w:r/>
            <w:r>
              <w:rPr>
                <w:b w:val="0"/>
                <w:sz w:val="14"/>
              </w:rPr>
              <w:t>Field extraction depends heavily on exact labels.</w:t>
            </w:r>
          </w:p>
        </w:tc>
        <w:tc>
          <w:tcPr>
            <w:tcW w:type="dxa" w:w="4320"/>
            <w:vAlign w:val="top"/>
          </w:tcPr>
          <w:p>
            <w:r/>
            <w:r>
              <w:rPr>
                <w:b w:val="0"/>
                <w:sz w:val="14"/>
              </w:rPr>
              <w:t>Add template signatures, table parsers, HTML table extraction, subject parsers, historical aliases, and sender-specific parsers.</w:t>
            </w:r>
          </w:p>
        </w:tc>
      </w:tr>
      <w:tr>
        <w:tc>
          <w:tcPr>
            <w:tcW w:type="dxa" w:w="504"/>
            <w:vAlign w:val="top"/>
          </w:tcPr>
          <w:p>
            <w:r/>
            <w:r>
              <w:rPr>
                <w:b w:val="0"/>
                <w:sz w:val="14"/>
              </w:rPr>
              <w:t>24</w:t>
            </w:r>
          </w:p>
        </w:tc>
        <w:tc>
          <w:tcPr>
            <w:tcW w:type="dxa" w:w="1944"/>
            <w:vAlign w:val="top"/>
          </w:tcPr>
          <w:p>
            <w:r/>
            <w:r>
              <w:rPr>
                <w:b w:val="0"/>
                <w:sz w:val="14"/>
              </w:rPr>
              <w:t>Extraction and parsing</w:t>
            </w:r>
          </w:p>
        </w:tc>
        <w:tc>
          <w:tcPr>
            <w:tcW w:type="dxa" w:w="1008"/>
            <w:vAlign w:val="top"/>
          </w:tcPr>
          <w:p>
            <w:r/>
            <w:r>
              <w:rPr>
                <w:b w:val="0"/>
                <w:sz w:val="14"/>
              </w:rPr>
              <w:t>High</w:t>
            </w:r>
          </w:p>
        </w:tc>
        <w:tc>
          <w:tcPr>
            <w:tcW w:type="dxa" w:w="2880"/>
            <w:vAlign w:val="top"/>
          </w:tcPr>
          <w:p>
            <w:r/>
            <w:r>
              <w:rPr>
                <w:b w:val="0"/>
                <w:sz w:val="14"/>
              </w:rPr>
              <w:t>No field-level provenance model exists.</w:t>
            </w:r>
          </w:p>
        </w:tc>
        <w:tc>
          <w:tcPr>
            <w:tcW w:type="dxa" w:w="4320"/>
            <w:vAlign w:val="top"/>
          </w:tcPr>
          <w:p>
            <w:r/>
            <w:r>
              <w:rPr>
                <w:b w:val="0"/>
                <w:sz w:val="14"/>
              </w:rPr>
              <w:t>Store source location, parser name, confidence, raw value, normalized value, and normalized-by rule for each extracted field.</w:t>
            </w:r>
          </w:p>
        </w:tc>
      </w:tr>
      <w:tr>
        <w:tc>
          <w:tcPr>
            <w:tcW w:type="dxa" w:w="504"/>
            <w:vAlign w:val="top"/>
          </w:tcPr>
          <w:p>
            <w:r/>
            <w:r>
              <w:rPr>
                <w:b w:val="0"/>
                <w:sz w:val="14"/>
              </w:rPr>
              <w:t>25</w:t>
            </w:r>
          </w:p>
        </w:tc>
        <w:tc>
          <w:tcPr>
            <w:tcW w:type="dxa" w:w="1944"/>
            <w:vAlign w:val="top"/>
          </w:tcPr>
          <w:p>
            <w:r/>
            <w:r>
              <w:rPr>
                <w:b w:val="0"/>
                <w:sz w:val="14"/>
              </w:rPr>
              <w:t>Extraction and parsing</w:t>
            </w:r>
          </w:p>
        </w:tc>
        <w:tc>
          <w:tcPr>
            <w:tcW w:type="dxa" w:w="1008"/>
            <w:vAlign w:val="top"/>
          </w:tcPr>
          <w:p>
            <w:r/>
            <w:r>
              <w:rPr>
                <w:b w:val="0"/>
                <w:sz w:val="14"/>
              </w:rPr>
              <w:t>High</w:t>
            </w:r>
          </w:p>
        </w:tc>
        <w:tc>
          <w:tcPr>
            <w:tcW w:type="dxa" w:w="2880"/>
            <w:vAlign w:val="top"/>
          </w:tcPr>
          <w:p>
            <w:r/>
            <w:r>
              <w:rPr>
                <w:b w:val="0"/>
                <w:sz w:val="14"/>
              </w:rPr>
              <w:t>Date handling is too permissive.</w:t>
            </w:r>
          </w:p>
        </w:tc>
        <w:tc>
          <w:tcPr>
            <w:tcW w:type="dxa" w:w="4320"/>
            <w:vAlign w:val="top"/>
          </w:tcPr>
          <w:p>
            <w:r/>
            <w:r>
              <w:rPr>
                <w:b w:val="0"/>
                <w:sz w:val="14"/>
              </w:rPr>
              <w:t>Store raw dates plus normalized dates, timezone assumptions, parse status, and ambiguity flags.</w:t>
            </w:r>
          </w:p>
        </w:tc>
      </w:tr>
      <w:tr>
        <w:tc>
          <w:tcPr>
            <w:tcW w:type="dxa" w:w="504"/>
            <w:vAlign w:val="top"/>
          </w:tcPr>
          <w:p>
            <w:r/>
            <w:r>
              <w:rPr>
                <w:b w:val="0"/>
                <w:sz w:val="14"/>
              </w:rPr>
              <w:t>26</w:t>
            </w:r>
          </w:p>
        </w:tc>
        <w:tc>
          <w:tcPr>
            <w:tcW w:type="dxa" w:w="1944"/>
            <w:vAlign w:val="top"/>
          </w:tcPr>
          <w:p>
            <w:r/>
            <w:r>
              <w:rPr>
                <w:b w:val="0"/>
                <w:sz w:val="14"/>
              </w:rPr>
              <w:t>Extraction and parsing</w:t>
            </w:r>
          </w:p>
        </w:tc>
        <w:tc>
          <w:tcPr>
            <w:tcW w:type="dxa" w:w="1008"/>
            <w:vAlign w:val="top"/>
          </w:tcPr>
          <w:p>
            <w:r/>
            <w:r>
              <w:rPr>
                <w:b w:val="0"/>
                <w:sz w:val="14"/>
              </w:rPr>
              <w:t>High</w:t>
            </w:r>
          </w:p>
        </w:tc>
        <w:tc>
          <w:tcPr>
            <w:tcW w:type="dxa" w:w="2880"/>
            <w:vAlign w:val="top"/>
          </w:tcPr>
          <w:p>
            <w:r/>
            <w:r>
              <w:rPr>
                <w:b w:val="0"/>
                <w:sz w:val="14"/>
              </w:rPr>
              <w:t>Device and building aliases are underdeveloped.</w:t>
            </w:r>
          </w:p>
        </w:tc>
        <w:tc>
          <w:tcPr>
            <w:tcW w:type="dxa" w:w="4320"/>
            <w:vAlign w:val="top"/>
          </w:tcPr>
          <w:p>
            <w:r/>
            <w:r>
              <w:rPr>
                <w:b w:val="0"/>
                <w:sz w:val="14"/>
              </w:rPr>
              <w:t>Build alias tables for building names, addresses, elevator banks, devices, and contractor names, with manual merge/split tools.</w:t>
            </w:r>
          </w:p>
        </w:tc>
      </w:tr>
      <w:tr>
        <w:tc>
          <w:tcPr>
            <w:tcW w:type="dxa" w:w="504"/>
            <w:vAlign w:val="top"/>
          </w:tcPr>
          <w:p>
            <w:r/>
            <w:r>
              <w:rPr>
                <w:b w:val="0"/>
                <w:sz w:val="14"/>
              </w:rPr>
              <w:t>27</w:t>
            </w:r>
          </w:p>
        </w:tc>
        <w:tc>
          <w:tcPr>
            <w:tcW w:type="dxa" w:w="1944"/>
            <w:vAlign w:val="top"/>
          </w:tcPr>
          <w:p>
            <w:r/>
            <w:r>
              <w:rPr>
                <w:b w:val="0"/>
                <w:sz w:val="14"/>
              </w:rPr>
              <w:t>Extraction and parsing</w:t>
            </w:r>
          </w:p>
        </w:tc>
        <w:tc>
          <w:tcPr>
            <w:tcW w:type="dxa" w:w="1008"/>
            <w:vAlign w:val="top"/>
          </w:tcPr>
          <w:p>
            <w:r/>
            <w:r>
              <w:rPr>
                <w:b w:val="0"/>
                <w:sz w:val="14"/>
              </w:rPr>
              <w:t>Medium</w:t>
            </w:r>
          </w:p>
        </w:tc>
        <w:tc>
          <w:tcPr>
            <w:tcW w:type="dxa" w:w="2880"/>
            <w:vAlign w:val="top"/>
          </w:tcPr>
          <w:p>
            <w:r/>
            <w:r>
              <w:rPr>
                <w:b w:val="0"/>
                <w:sz w:val="14"/>
              </w:rPr>
              <w:t>HTML sanitization and HTML parsing are not the same thing.</w:t>
            </w:r>
          </w:p>
        </w:tc>
        <w:tc>
          <w:tcPr>
            <w:tcW w:type="dxa" w:w="4320"/>
            <w:vAlign w:val="top"/>
          </w:tcPr>
          <w:p>
            <w:r/>
            <w:r>
              <w:rPr>
                <w:b w:val="0"/>
                <w:sz w:val="14"/>
              </w:rPr>
              <w:t>Use a proper HTML-to-structured-text pipeline so tables from email clients do not get flattened into mystery soup.</w:t>
            </w:r>
          </w:p>
        </w:tc>
      </w:tr>
      <w:tr>
        <w:tc>
          <w:tcPr>
            <w:tcW w:type="dxa" w:w="504"/>
            <w:vAlign w:val="top"/>
          </w:tcPr>
          <w:p>
            <w:r/>
            <w:r>
              <w:rPr>
                <w:b w:val="0"/>
                <w:sz w:val="14"/>
              </w:rPr>
              <w:t>28</w:t>
            </w:r>
          </w:p>
        </w:tc>
        <w:tc>
          <w:tcPr>
            <w:tcW w:type="dxa" w:w="1944"/>
            <w:vAlign w:val="top"/>
          </w:tcPr>
          <w:p>
            <w:r/>
            <w:r>
              <w:rPr>
                <w:b w:val="0"/>
                <w:sz w:val="14"/>
              </w:rPr>
              <w:t>Extraction and parsing</w:t>
            </w:r>
          </w:p>
        </w:tc>
        <w:tc>
          <w:tcPr>
            <w:tcW w:type="dxa" w:w="1008"/>
            <w:vAlign w:val="top"/>
          </w:tcPr>
          <w:p>
            <w:r/>
            <w:r>
              <w:rPr>
                <w:b w:val="0"/>
                <w:sz w:val="14"/>
              </w:rPr>
              <w:t>Medium</w:t>
            </w:r>
          </w:p>
        </w:tc>
        <w:tc>
          <w:tcPr>
            <w:tcW w:type="dxa" w:w="2880"/>
            <w:vAlign w:val="top"/>
          </w:tcPr>
          <w:p>
            <w:r/>
            <w:r>
              <w:rPr>
                <w:b w:val="0"/>
                <w:sz w:val="14"/>
              </w:rPr>
              <w:t>AI extraction lacks strict validation.</w:t>
            </w:r>
          </w:p>
        </w:tc>
        <w:tc>
          <w:tcPr>
            <w:tcW w:type="dxa" w:w="4320"/>
            <w:vAlign w:val="top"/>
          </w:tcPr>
          <w:p>
            <w:r/>
            <w:r>
              <w:rPr>
                <w:b w:val="0"/>
                <w:sz w:val="14"/>
              </w:rPr>
              <w:t>Validate AI JSON against a schema, reject unknown fields, normalize values, and require confidence plus evidence spans.</w:t>
            </w:r>
          </w:p>
        </w:tc>
      </w:tr>
      <w:tr>
        <w:tc>
          <w:tcPr>
            <w:tcW w:type="dxa" w:w="504"/>
            <w:vAlign w:val="top"/>
          </w:tcPr>
          <w:p>
            <w:r/>
            <w:r>
              <w:rPr>
                <w:b w:val="0"/>
                <w:sz w:val="14"/>
              </w:rPr>
              <w:t>29</w:t>
            </w:r>
          </w:p>
        </w:tc>
        <w:tc>
          <w:tcPr>
            <w:tcW w:type="dxa" w:w="1944"/>
            <w:vAlign w:val="top"/>
          </w:tcPr>
          <w:p>
            <w:r/>
            <w:r>
              <w:rPr>
                <w:b w:val="0"/>
                <w:sz w:val="14"/>
              </w:rPr>
              <w:t>Extraction and parsing</w:t>
            </w:r>
          </w:p>
        </w:tc>
        <w:tc>
          <w:tcPr>
            <w:tcW w:type="dxa" w:w="1008"/>
            <w:vAlign w:val="top"/>
          </w:tcPr>
          <w:p>
            <w:r/>
            <w:r>
              <w:rPr>
                <w:b w:val="0"/>
                <w:sz w:val="14"/>
              </w:rPr>
              <w:t>Medium</w:t>
            </w:r>
          </w:p>
        </w:tc>
        <w:tc>
          <w:tcPr>
            <w:tcW w:type="dxa" w:w="2880"/>
            <w:vAlign w:val="top"/>
          </w:tcPr>
          <w:p>
            <w:r/>
            <w:r>
              <w:rPr>
                <w:b w:val="0"/>
                <w:sz w:val="14"/>
              </w:rPr>
              <w:t>There is no parser learning loop.</w:t>
            </w:r>
          </w:p>
        </w:tc>
        <w:tc>
          <w:tcPr>
            <w:tcW w:type="dxa" w:w="4320"/>
            <w:vAlign w:val="top"/>
          </w:tcPr>
          <w:p>
            <w:r/>
            <w:r>
              <w:rPr>
                <w:b w:val="0"/>
                <w:sz w:val="14"/>
              </w:rPr>
              <w:t>Every manual correction should become a parser test candidate, alias update, or taxonomy rule change.</w:t>
            </w:r>
          </w:p>
        </w:tc>
      </w:tr>
      <w:tr>
        <w:tc>
          <w:tcPr>
            <w:tcW w:type="dxa" w:w="504"/>
            <w:vAlign w:val="top"/>
          </w:tcPr>
          <w:p>
            <w:r/>
            <w:r>
              <w:rPr>
                <w:b w:val="0"/>
                <w:sz w:val="14"/>
              </w:rPr>
              <w:t>30</w:t>
            </w:r>
          </w:p>
        </w:tc>
        <w:tc>
          <w:tcPr>
            <w:tcW w:type="dxa" w:w="1944"/>
            <w:vAlign w:val="top"/>
          </w:tcPr>
          <w:p>
            <w:r/>
            <w:r>
              <w:rPr>
                <w:b w:val="0"/>
                <w:sz w:val="14"/>
              </w:rPr>
              <w:t>Grouping and deduplication</w:t>
            </w:r>
          </w:p>
        </w:tc>
        <w:tc>
          <w:tcPr>
            <w:tcW w:type="dxa" w:w="1008"/>
            <w:vAlign w:val="top"/>
          </w:tcPr>
          <w:p>
            <w:r/>
            <w:r>
              <w:rPr>
                <w:b w:val="0"/>
                <w:sz w:val="14"/>
              </w:rPr>
              <w:t>Blocker</w:t>
            </w:r>
          </w:p>
        </w:tc>
        <w:tc>
          <w:tcPr>
            <w:tcW w:type="dxa" w:w="2880"/>
            <w:vAlign w:val="top"/>
          </w:tcPr>
          <w:p>
            <w:r/>
            <w:r>
              <w:rPr>
                <w:b w:val="0"/>
                <w:sz w:val="14"/>
              </w:rPr>
              <w:t>Grouping keys are too simplistic for production.</w:t>
            </w:r>
          </w:p>
        </w:tc>
        <w:tc>
          <w:tcPr>
            <w:tcW w:type="dxa" w:w="4320"/>
            <w:vAlign w:val="top"/>
          </w:tcPr>
          <w:p>
            <w:r/>
            <w:r>
              <w:rPr>
                <w:b w:val="0"/>
                <w:sz w:val="14"/>
              </w:rPr>
              <w:t>Use case-type-specific grouping policies with required and optional components, time windows, source IDs, and collision detection.</w:t>
            </w:r>
          </w:p>
        </w:tc>
      </w:tr>
      <w:tr>
        <w:tc>
          <w:tcPr>
            <w:tcW w:type="dxa" w:w="504"/>
            <w:vAlign w:val="top"/>
          </w:tcPr>
          <w:p>
            <w:r/>
            <w:r>
              <w:rPr>
                <w:b w:val="0"/>
                <w:sz w:val="14"/>
              </w:rPr>
              <w:t>31</w:t>
            </w:r>
          </w:p>
        </w:tc>
        <w:tc>
          <w:tcPr>
            <w:tcW w:type="dxa" w:w="1944"/>
            <w:vAlign w:val="top"/>
          </w:tcPr>
          <w:p>
            <w:r/>
            <w:r>
              <w:rPr>
                <w:b w:val="0"/>
                <w:sz w:val="14"/>
              </w:rPr>
              <w:t>Grouping and deduplication</w:t>
            </w:r>
          </w:p>
        </w:tc>
        <w:tc>
          <w:tcPr>
            <w:tcW w:type="dxa" w:w="1008"/>
            <w:vAlign w:val="top"/>
          </w:tcPr>
          <w:p>
            <w:r/>
            <w:r>
              <w:rPr>
                <w:b w:val="0"/>
                <w:sz w:val="14"/>
              </w:rPr>
              <w:t>High</w:t>
            </w:r>
          </w:p>
        </w:tc>
        <w:tc>
          <w:tcPr>
            <w:tcW w:type="dxa" w:w="2880"/>
            <w:vAlign w:val="top"/>
          </w:tcPr>
          <w:p>
            <w:r/>
            <w:r>
              <w:rPr>
                <w:b w:val="0"/>
                <w:sz w:val="14"/>
              </w:rPr>
              <w:t>Unknown or missing fields can cause bad grouping or review sprawl.</w:t>
            </w:r>
          </w:p>
        </w:tc>
        <w:tc>
          <w:tcPr>
            <w:tcW w:type="dxa" w:w="4320"/>
            <w:vAlign w:val="top"/>
          </w:tcPr>
          <w:p>
            <w:r/>
            <w:r>
              <w:rPr>
                <w:b w:val="0"/>
                <w:sz w:val="14"/>
              </w:rPr>
              <w:t>Create safe provisional grouping keys and merge tools. Avoid one-review-case-per-email when the emails obviously share a family.</w:t>
            </w:r>
          </w:p>
        </w:tc>
      </w:tr>
      <w:tr>
        <w:tc>
          <w:tcPr>
            <w:tcW w:type="dxa" w:w="504"/>
            <w:vAlign w:val="top"/>
          </w:tcPr>
          <w:p>
            <w:r/>
            <w:r>
              <w:rPr>
                <w:b w:val="0"/>
                <w:sz w:val="14"/>
              </w:rPr>
              <w:t>32</w:t>
            </w:r>
          </w:p>
        </w:tc>
        <w:tc>
          <w:tcPr>
            <w:tcW w:type="dxa" w:w="1944"/>
            <w:vAlign w:val="top"/>
          </w:tcPr>
          <w:p>
            <w:r/>
            <w:r>
              <w:rPr>
                <w:b w:val="0"/>
                <w:sz w:val="14"/>
              </w:rPr>
              <w:t>Grouping and deduplication</w:t>
            </w:r>
          </w:p>
        </w:tc>
        <w:tc>
          <w:tcPr>
            <w:tcW w:type="dxa" w:w="1008"/>
            <w:vAlign w:val="top"/>
          </w:tcPr>
          <w:p>
            <w:r/>
            <w:r>
              <w:rPr>
                <w:b w:val="0"/>
                <w:sz w:val="14"/>
              </w:rPr>
              <w:t>High</w:t>
            </w:r>
          </w:p>
        </w:tc>
        <w:tc>
          <w:tcPr>
            <w:tcW w:type="dxa" w:w="2880"/>
            <w:vAlign w:val="top"/>
          </w:tcPr>
          <w:p>
            <w:r/>
            <w:r>
              <w:rPr>
                <w:b w:val="0"/>
                <w:sz w:val="14"/>
              </w:rPr>
              <w:t>No collision review exists.</w:t>
            </w:r>
          </w:p>
        </w:tc>
        <w:tc>
          <w:tcPr>
            <w:tcW w:type="dxa" w:w="4320"/>
            <w:vAlign w:val="top"/>
          </w:tcPr>
          <w:p>
            <w:r/>
            <w:r>
              <w:rPr>
                <w:b w:val="0"/>
                <w:sz w:val="14"/>
              </w:rPr>
              <w:t>Detect when one grouping key receives conflicting building, device, contractor, due date, or period values.</w:t>
            </w:r>
          </w:p>
        </w:tc>
      </w:tr>
      <w:tr>
        <w:tc>
          <w:tcPr>
            <w:tcW w:type="dxa" w:w="504"/>
            <w:vAlign w:val="top"/>
          </w:tcPr>
          <w:p>
            <w:r/>
            <w:r>
              <w:rPr>
                <w:b w:val="0"/>
                <w:sz w:val="14"/>
              </w:rPr>
              <w:t>33</w:t>
            </w:r>
          </w:p>
        </w:tc>
        <w:tc>
          <w:tcPr>
            <w:tcW w:type="dxa" w:w="1944"/>
            <w:vAlign w:val="top"/>
          </w:tcPr>
          <w:p>
            <w:r/>
            <w:r>
              <w:rPr>
                <w:b w:val="0"/>
                <w:sz w:val="14"/>
              </w:rPr>
              <w:t>Grouping and deduplication</w:t>
            </w:r>
          </w:p>
        </w:tc>
        <w:tc>
          <w:tcPr>
            <w:tcW w:type="dxa" w:w="1008"/>
            <w:vAlign w:val="top"/>
          </w:tcPr>
          <w:p>
            <w:r/>
            <w:r>
              <w:rPr>
                <w:b w:val="0"/>
                <w:sz w:val="14"/>
              </w:rPr>
              <w:t>Medium</w:t>
            </w:r>
          </w:p>
        </w:tc>
        <w:tc>
          <w:tcPr>
            <w:tcW w:type="dxa" w:w="2880"/>
            <w:vAlign w:val="top"/>
          </w:tcPr>
          <w:p>
            <w:r/>
            <w:r>
              <w:rPr>
                <w:b w:val="0"/>
                <w:sz w:val="14"/>
              </w:rPr>
              <w:t>No split and merge workflow exists.</w:t>
            </w:r>
          </w:p>
        </w:tc>
        <w:tc>
          <w:tcPr>
            <w:tcW w:type="dxa" w:w="4320"/>
            <w:vAlign w:val="top"/>
          </w:tcPr>
          <w:p>
            <w:r/>
            <w:r>
              <w:rPr>
                <w:b w:val="0"/>
                <w:sz w:val="14"/>
              </w:rPr>
              <w:t>Add manual split, merge, and reassign actions with audit trails and downstream follow-up recalculation.</w:t>
            </w:r>
          </w:p>
        </w:tc>
      </w:tr>
      <w:tr>
        <w:tc>
          <w:tcPr>
            <w:tcW w:type="dxa" w:w="504"/>
            <w:vAlign w:val="top"/>
          </w:tcPr>
          <w:p>
            <w:r/>
            <w:r>
              <w:rPr>
                <w:b w:val="0"/>
                <w:sz w:val="14"/>
              </w:rPr>
              <w:t>34</w:t>
            </w:r>
          </w:p>
        </w:tc>
        <w:tc>
          <w:tcPr>
            <w:tcW w:type="dxa" w:w="1944"/>
            <w:vAlign w:val="top"/>
          </w:tcPr>
          <w:p>
            <w:r/>
            <w:r>
              <w:rPr>
                <w:b w:val="0"/>
                <w:sz w:val="14"/>
              </w:rPr>
              <w:t>Grouping and deduplication</w:t>
            </w:r>
          </w:p>
        </w:tc>
        <w:tc>
          <w:tcPr>
            <w:tcW w:type="dxa" w:w="1008"/>
            <w:vAlign w:val="top"/>
          </w:tcPr>
          <w:p>
            <w:r/>
            <w:r>
              <w:rPr>
                <w:b w:val="0"/>
                <w:sz w:val="14"/>
              </w:rPr>
              <w:t>Medium</w:t>
            </w:r>
          </w:p>
        </w:tc>
        <w:tc>
          <w:tcPr>
            <w:tcW w:type="dxa" w:w="2880"/>
            <w:vAlign w:val="top"/>
          </w:tcPr>
          <w:p>
            <w:r/>
            <w:r>
              <w:rPr>
                <w:b w:val="0"/>
                <w:sz w:val="14"/>
              </w:rPr>
              <w:t>No thread-aware grouping policy exists.</w:t>
            </w:r>
          </w:p>
        </w:tc>
        <w:tc>
          <w:tcPr>
            <w:tcW w:type="dxa" w:w="4320"/>
            <w:vAlign w:val="top"/>
          </w:tcPr>
          <w:p>
            <w:r/>
            <w:r>
              <w:rPr>
                <w:b w:val="0"/>
                <w:sz w:val="14"/>
              </w:rPr>
              <w:t>Use message threading, reply references, and previous case IDs when available, but never let thread ID alone override business grouping rules.</w:t>
            </w:r>
          </w:p>
        </w:tc>
      </w:tr>
      <w:tr>
        <w:tc>
          <w:tcPr>
            <w:tcW w:type="dxa" w:w="504"/>
            <w:vAlign w:val="top"/>
          </w:tcPr>
          <w:p>
            <w:r/>
            <w:r>
              <w:rPr>
                <w:b w:val="0"/>
                <w:sz w:val="14"/>
              </w:rPr>
              <w:t>35</w:t>
            </w:r>
          </w:p>
        </w:tc>
        <w:tc>
          <w:tcPr>
            <w:tcW w:type="dxa" w:w="1944"/>
            <w:vAlign w:val="top"/>
          </w:tcPr>
          <w:p>
            <w:r/>
            <w:r>
              <w:rPr>
                <w:b w:val="0"/>
                <w:sz w:val="14"/>
              </w:rPr>
              <w:t>Grouping and deduplication</w:t>
            </w:r>
          </w:p>
        </w:tc>
        <w:tc>
          <w:tcPr>
            <w:tcW w:type="dxa" w:w="1008"/>
            <w:vAlign w:val="top"/>
          </w:tcPr>
          <w:p>
            <w:r/>
            <w:r>
              <w:rPr>
                <w:b w:val="0"/>
                <w:sz w:val="14"/>
              </w:rPr>
              <w:t>Low</w:t>
            </w:r>
          </w:p>
        </w:tc>
        <w:tc>
          <w:tcPr>
            <w:tcW w:type="dxa" w:w="2880"/>
            <w:vAlign w:val="top"/>
          </w:tcPr>
          <w:p>
            <w:r/>
            <w:r>
              <w:rPr>
                <w:b w:val="0"/>
                <w:sz w:val="14"/>
              </w:rPr>
              <w:t>Grouping key normalization is minimal.</w:t>
            </w:r>
          </w:p>
        </w:tc>
        <w:tc>
          <w:tcPr>
            <w:tcW w:type="dxa" w:w="4320"/>
            <w:vAlign w:val="top"/>
          </w:tcPr>
          <w:p>
            <w:r/>
            <w:r>
              <w:rPr>
                <w:b w:val="0"/>
                <w:sz w:val="14"/>
              </w:rPr>
              <w:t>Normalize punctuation, addresses, device formats, bank labels, whitespace, and common abbreviations consistently.</w:t>
            </w:r>
          </w:p>
        </w:tc>
      </w:tr>
      <w:tr>
        <w:tc>
          <w:tcPr>
            <w:tcW w:type="dxa" w:w="504"/>
            <w:vAlign w:val="top"/>
          </w:tcPr>
          <w:p>
            <w:r/>
            <w:r>
              <w:rPr>
                <w:b w:val="0"/>
                <w:sz w:val="14"/>
              </w:rPr>
              <w:t>36</w:t>
            </w:r>
          </w:p>
        </w:tc>
        <w:tc>
          <w:tcPr>
            <w:tcW w:type="dxa" w:w="1944"/>
            <w:vAlign w:val="top"/>
          </w:tcPr>
          <w:p>
            <w:r/>
            <w:r>
              <w:rPr>
                <w:b w:val="0"/>
                <w:sz w:val="14"/>
              </w:rPr>
              <w:t>Manual review and operations</w:t>
            </w:r>
          </w:p>
        </w:tc>
        <w:tc>
          <w:tcPr>
            <w:tcW w:type="dxa" w:w="1008"/>
            <w:vAlign w:val="top"/>
          </w:tcPr>
          <w:p>
            <w:r/>
            <w:r>
              <w:rPr>
                <w:b w:val="0"/>
                <w:sz w:val="14"/>
              </w:rPr>
              <w:t>Blocker</w:t>
            </w:r>
          </w:p>
        </w:tc>
        <w:tc>
          <w:tcPr>
            <w:tcW w:type="dxa" w:w="2880"/>
            <w:vAlign w:val="top"/>
          </w:tcPr>
          <w:p>
            <w:r/>
            <w:r>
              <w:rPr>
                <w:b w:val="0"/>
                <w:sz w:val="14"/>
              </w:rPr>
              <w:t>Manual review has no workflow design.</w:t>
            </w:r>
          </w:p>
        </w:tc>
        <w:tc>
          <w:tcPr>
            <w:tcW w:type="dxa" w:w="4320"/>
            <w:vAlign w:val="top"/>
          </w:tcPr>
          <w:p>
            <w:r/>
            <w:r>
              <w:rPr>
                <w:b w:val="0"/>
                <w:sz w:val="14"/>
              </w:rPr>
              <w:t>Create typed review queues: safety, extraction repair, unknown classifier, routing/contact, possible closure, duplicate/collision, and escalation.</w:t>
            </w:r>
          </w:p>
        </w:tc>
      </w:tr>
      <w:tr>
        <w:tc>
          <w:tcPr>
            <w:tcW w:type="dxa" w:w="504"/>
            <w:vAlign w:val="top"/>
          </w:tcPr>
          <w:p>
            <w:r/>
            <w:r>
              <w:rPr>
                <w:b w:val="0"/>
                <w:sz w:val="14"/>
              </w:rPr>
              <w:t>37</w:t>
            </w:r>
          </w:p>
        </w:tc>
        <w:tc>
          <w:tcPr>
            <w:tcW w:type="dxa" w:w="1944"/>
            <w:vAlign w:val="top"/>
          </w:tcPr>
          <w:p>
            <w:r/>
            <w:r>
              <w:rPr>
                <w:b w:val="0"/>
                <w:sz w:val="14"/>
              </w:rPr>
              <w:t>Manual review and operations</w:t>
            </w:r>
          </w:p>
        </w:tc>
        <w:tc>
          <w:tcPr>
            <w:tcW w:type="dxa" w:w="1008"/>
            <w:vAlign w:val="top"/>
          </w:tcPr>
          <w:p>
            <w:r/>
            <w:r>
              <w:rPr>
                <w:b w:val="0"/>
                <w:sz w:val="14"/>
              </w:rPr>
              <w:t>Blocker</w:t>
            </w:r>
          </w:p>
        </w:tc>
        <w:tc>
          <w:tcPr>
            <w:tcW w:type="dxa" w:w="2880"/>
            <w:vAlign w:val="top"/>
          </w:tcPr>
          <w:p>
            <w:r/>
            <w:r>
              <w:rPr>
                <w:b w:val="0"/>
                <w:sz w:val="14"/>
              </w:rPr>
              <w:t>Review reasons are free-text.</w:t>
            </w:r>
          </w:p>
        </w:tc>
        <w:tc>
          <w:tcPr>
            <w:tcW w:type="dxa" w:w="4320"/>
            <w:vAlign w:val="top"/>
          </w:tcPr>
          <w:p>
            <w:r/>
            <w:r>
              <w:rPr>
                <w:b w:val="0"/>
                <w:sz w:val="14"/>
              </w:rPr>
              <w:t>Use stable reason codes plus display text so reporting can show why review volume is high.</w:t>
            </w:r>
          </w:p>
        </w:tc>
      </w:tr>
      <w:tr>
        <w:tc>
          <w:tcPr>
            <w:tcW w:type="dxa" w:w="504"/>
            <w:vAlign w:val="top"/>
          </w:tcPr>
          <w:p>
            <w:r/>
            <w:r>
              <w:rPr>
                <w:b w:val="0"/>
                <w:sz w:val="14"/>
              </w:rPr>
              <w:t>38</w:t>
            </w:r>
          </w:p>
        </w:tc>
        <w:tc>
          <w:tcPr>
            <w:tcW w:type="dxa" w:w="1944"/>
            <w:vAlign w:val="top"/>
          </w:tcPr>
          <w:p>
            <w:r/>
            <w:r>
              <w:rPr>
                <w:b w:val="0"/>
                <w:sz w:val="14"/>
              </w:rPr>
              <w:t>Manual review and operations</w:t>
            </w:r>
          </w:p>
        </w:tc>
        <w:tc>
          <w:tcPr>
            <w:tcW w:type="dxa" w:w="1008"/>
            <w:vAlign w:val="top"/>
          </w:tcPr>
          <w:p>
            <w:r/>
            <w:r>
              <w:rPr>
                <w:b w:val="0"/>
                <w:sz w:val="14"/>
              </w:rPr>
              <w:t>High</w:t>
            </w:r>
          </w:p>
        </w:tc>
        <w:tc>
          <w:tcPr>
            <w:tcW w:type="dxa" w:w="2880"/>
            <w:vAlign w:val="top"/>
          </w:tcPr>
          <w:p>
            <w:r/>
            <w:r>
              <w:rPr>
                <w:b w:val="0"/>
                <w:sz w:val="14"/>
              </w:rPr>
              <w:t>Review items have no owner, due date, severity, or SLA.</w:t>
            </w:r>
          </w:p>
        </w:tc>
        <w:tc>
          <w:tcPr>
            <w:tcW w:type="dxa" w:w="4320"/>
            <w:vAlign w:val="top"/>
          </w:tcPr>
          <w:p>
            <w:r/>
            <w:r>
              <w:rPr>
                <w:b w:val="0"/>
                <w:sz w:val="14"/>
              </w:rPr>
              <w:t>Add owner, assigned_at, due_at, priority, queue, status, resolution, and resolution_note fields.</w:t>
            </w:r>
          </w:p>
        </w:tc>
      </w:tr>
      <w:tr>
        <w:tc>
          <w:tcPr>
            <w:tcW w:type="dxa" w:w="504"/>
            <w:vAlign w:val="top"/>
          </w:tcPr>
          <w:p>
            <w:r/>
            <w:r>
              <w:rPr>
                <w:b w:val="0"/>
                <w:sz w:val="14"/>
              </w:rPr>
              <w:t>39</w:t>
            </w:r>
          </w:p>
        </w:tc>
        <w:tc>
          <w:tcPr>
            <w:tcW w:type="dxa" w:w="1944"/>
            <w:vAlign w:val="top"/>
          </w:tcPr>
          <w:p>
            <w:r/>
            <w:r>
              <w:rPr>
                <w:b w:val="0"/>
                <w:sz w:val="14"/>
              </w:rPr>
              <w:t>Manual review and operations</w:t>
            </w:r>
          </w:p>
        </w:tc>
        <w:tc>
          <w:tcPr>
            <w:tcW w:type="dxa" w:w="1008"/>
            <w:vAlign w:val="top"/>
          </w:tcPr>
          <w:p>
            <w:r/>
            <w:r>
              <w:rPr>
                <w:b w:val="0"/>
                <w:sz w:val="14"/>
              </w:rPr>
              <w:t>High</w:t>
            </w:r>
          </w:p>
        </w:tc>
        <w:tc>
          <w:tcPr>
            <w:tcW w:type="dxa" w:w="2880"/>
            <w:vAlign w:val="top"/>
          </w:tcPr>
          <w:p>
            <w:r/>
            <w:r>
              <w:rPr>
                <w:b w:val="0"/>
                <w:sz w:val="14"/>
              </w:rPr>
              <w:t>No feedback loop from review to automation.</w:t>
            </w:r>
          </w:p>
        </w:tc>
        <w:tc>
          <w:tcPr>
            <w:tcW w:type="dxa" w:w="4320"/>
            <w:vAlign w:val="top"/>
          </w:tcPr>
          <w:p>
            <w:r/>
            <w:r>
              <w:rPr>
                <w:b w:val="0"/>
                <w:sz w:val="14"/>
              </w:rPr>
              <w:t>Review resolution should update aliases, parser examples, policy rules, unsupported family ranking, and tests.</w:t>
            </w:r>
          </w:p>
        </w:tc>
      </w:tr>
      <w:tr>
        <w:tc>
          <w:tcPr>
            <w:tcW w:type="dxa" w:w="504"/>
            <w:vAlign w:val="top"/>
          </w:tcPr>
          <w:p>
            <w:r/>
            <w:r>
              <w:rPr>
                <w:b w:val="0"/>
                <w:sz w:val="14"/>
              </w:rPr>
              <w:t>40</w:t>
            </w:r>
          </w:p>
        </w:tc>
        <w:tc>
          <w:tcPr>
            <w:tcW w:type="dxa" w:w="1944"/>
            <w:vAlign w:val="top"/>
          </w:tcPr>
          <w:p>
            <w:r/>
            <w:r>
              <w:rPr>
                <w:b w:val="0"/>
                <w:sz w:val="14"/>
              </w:rPr>
              <w:t>Manual review and operations</w:t>
            </w:r>
          </w:p>
        </w:tc>
        <w:tc>
          <w:tcPr>
            <w:tcW w:type="dxa" w:w="1008"/>
            <w:vAlign w:val="top"/>
          </w:tcPr>
          <w:p>
            <w:r/>
            <w:r>
              <w:rPr>
                <w:b w:val="0"/>
                <w:sz w:val="14"/>
              </w:rPr>
              <w:t>High</w:t>
            </w:r>
          </w:p>
        </w:tc>
        <w:tc>
          <w:tcPr>
            <w:tcW w:type="dxa" w:w="2880"/>
            <w:vAlign w:val="top"/>
          </w:tcPr>
          <w:p>
            <w:r/>
            <w:r>
              <w:rPr>
                <w:b w:val="0"/>
                <w:sz w:val="14"/>
              </w:rPr>
              <w:t>No bulk review actions exist.</w:t>
            </w:r>
          </w:p>
        </w:tc>
        <w:tc>
          <w:tcPr>
            <w:tcW w:type="dxa" w:w="4320"/>
            <w:vAlign w:val="top"/>
          </w:tcPr>
          <w:p>
            <w:r/>
            <w:r>
              <w:rPr>
                <w:b w:val="0"/>
                <w:sz w:val="14"/>
              </w:rPr>
              <w:t>Allow reviewers to resolve batches of similar unknowns, apply a parser rule, merge cases, or mark a sender as noise.</w:t>
            </w:r>
          </w:p>
        </w:tc>
      </w:tr>
      <w:tr>
        <w:tc>
          <w:tcPr>
            <w:tcW w:type="dxa" w:w="504"/>
            <w:vAlign w:val="top"/>
          </w:tcPr>
          <w:p>
            <w:r/>
            <w:r>
              <w:rPr>
                <w:b w:val="0"/>
                <w:sz w:val="14"/>
              </w:rPr>
              <w:t>41</w:t>
            </w:r>
          </w:p>
        </w:tc>
        <w:tc>
          <w:tcPr>
            <w:tcW w:type="dxa" w:w="1944"/>
            <w:vAlign w:val="top"/>
          </w:tcPr>
          <w:p>
            <w:r/>
            <w:r>
              <w:rPr>
                <w:b w:val="0"/>
                <w:sz w:val="14"/>
              </w:rPr>
              <w:t>Manual review and operations</w:t>
            </w:r>
          </w:p>
        </w:tc>
        <w:tc>
          <w:tcPr>
            <w:tcW w:type="dxa" w:w="1008"/>
            <w:vAlign w:val="top"/>
          </w:tcPr>
          <w:p>
            <w:r/>
            <w:r>
              <w:rPr>
                <w:b w:val="0"/>
                <w:sz w:val="14"/>
              </w:rPr>
              <w:t>Medium</w:t>
            </w:r>
          </w:p>
        </w:tc>
        <w:tc>
          <w:tcPr>
            <w:tcW w:type="dxa" w:w="2880"/>
            <w:vAlign w:val="top"/>
          </w:tcPr>
          <w:p>
            <w:r/>
            <w:r>
              <w:rPr>
                <w:b w:val="0"/>
                <w:sz w:val="14"/>
              </w:rPr>
              <w:t>Review and case are tightly coupled.</w:t>
            </w:r>
          </w:p>
        </w:tc>
        <w:tc>
          <w:tcPr>
            <w:tcW w:type="dxa" w:w="4320"/>
            <w:vAlign w:val="top"/>
          </w:tcPr>
          <w:p>
            <w:r/>
            <w:r>
              <w:rPr>
                <w:b w:val="0"/>
                <w:sz w:val="14"/>
              </w:rPr>
              <w:t>A single case may need multiple review tasks. A single review task may apply to multiple emails or cases.</w:t>
            </w:r>
          </w:p>
        </w:tc>
      </w:tr>
      <w:tr>
        <w:tc>
          <w:tcPr>
            <w:tcW w:type="dxa" w:w="504"/>
            <w:vAlign w:val="top"/>
          </w:tcPr>
          <w:p>
            <w:r/>
            <w:r>
              <w:rPr>
                <w:b w:val="0"/>
                <w:sz w:val="14"/>
              </w:rPr>
              <w:t>42</w:t>
            </w:r>
          </w:p>
        </w:tc>
        <w:tc>
          <w:tcPr>
            <w:tcW w:type="dxa" w:w="1944"/>
            <w:vAlign w:val="top"/>
          </w:tcPr>
          <w:p>
            <w:r/>
            <w:r>
              <w:rPr>
                <w:b w:val="0"/>
                <w:sz w:val="14"/>
              </w:rPr>
              <w:t>Manual review and operations</w:t>
            </w:r>
          </w:p>
        </w:tc>
        <w:tc>
          <w:tcPr>
            <w:tcW w:type="dxa" w:w="1008"/>
            <w:vAlign w:val="top"/>
          </w:tcPr>
          <w:p>
            <w:r/>
            <w:r>
              <w:rPr>
                <w:b w:val="0"/>
                <w:sz w:val="14"/>
              </w:rPr>
              <w:t>Medium</w:t>
            </w:r>
          </w:p>
        </w:tc>
        <w:tc>
          <w:tcPr>
            <w:tcW w:type="dxa" w:w="2880"/>
            <w:vAlign w:val="top"/>
          </w:tcPr>
          <w:p>
            <w:r/>
            <w:r>
              <w:rPr>
                <w:b w:val="0"/>
                <w:sz w:val="14"/>
              </w:rPr>
              <w:t>No review analytics are defined.</w:t>
            </w:r>
          </w:p>
        </w:tc>
        <w:tc>
          <w:tcPr>
            <w:tcW w:type="dxa" w:w="4320"/>
            <w:vAlign w:val="top"/>
          </w:tcPr>
          <w:p>
            <w:r/>
            <w:r>
              <w:rPr>
                <w:b w:val="0"/>
                <w:sz w:val="14"/>
              </w:rPr>
              <w:t>Track review rate by case type, sender, subject family, missing field, parser, AI status, and operator decision.</w:t>
            </w:r>
          </w:p>
        </w:tc>
      </w:tr>
      <w:tr>
        <w:tc>
          <w:tcPr>
            <w:tcW w:type="dxa" w:w="504"/>
            <w:vAlign w:val="top"/>
          </w:tcPr>
          <w:p>
            <w:r/>
            <w:r>
              <w:rPr>
                <w:b w:val="0"/>
                <w:sz w:val="14"/>
              </w:rPr>
              <w:t>43</w:t>
            </w:r>
          </w:p>
        </w:tc>
        <w:tc>
          <w:tcPr>
            <w:tcW w:type="dxa" w:w="1944"/>
            <w:vAlign w:val="top"/>
          </w:tcPr>
          <w:p>
            <w:r/>
            <w:r>
              <w:rPr>
                <w:b w:val="0"/>
                <w:sz w:val="14"/>
              </w:rPr>
              <w:t>AI governance and cost control</w:t>
            </w:r>
          </w:p>
        </w:tc>
        <w:tc>
          <w:tcPr>
            <w:tcW w:type="dxa" w:w="1008"/>
            <w:vAlign w:val="top"/>
          </w:tcPr>
          <w:p>
            <w:r/>
            <w:r>
              <w:rPr>
                <w:b w:val="0"/>
                <w:sz w:val="14"/>
              </w:rPr>
              <w:t>High</w:t>
            </w:r>
          </w:p>
        </w:tc>
        <w:tc>
          <w:tcPr>
            <w:tcW w:type="dxa" w:w="2880"/>
            <w:vAlign w:val="top"/>
          </w:tcPr>
          <w:p>
            <w:r/>
            <w:r>
              <w:rPr>
                <w:b w:val="0"/>
                <w:sz w:val="14"/>
              </w:rPr>
              <w:t>AI usage is budgeted but not quality-governed.</w:t>
            </w:r>
          </w:p>
        </w:tc>
        <w:tc>
          <w:tcPr>
            <w:tcW w:type="dxa" w:w="4320"/>
            <w:vAlign w:val="top"/>
          </w:tcPr>
          <w:p>
            <w:r/>
            <w:r>
              <w:rPr>
                <w:b w:val="0"/>
                <w:sz w:val="14"/>
              </w:rPr>
              <w:t>Add prompt versioning, schema validation, output validators, human correction sampling, and evaluation sets.</w:t>
            </w:r>
          </w:p>
        </w:tc>
      </w:tr>
      <w:tr>
        <w:tc>
          <w:tcPr>
            <w:tcW w:type="dxa" w:w="504"/>
            <w:vAlign w:val="top"/>
          </w:tcPr>
          <w:p>
            <w:r/>
            <w:r>
              <w:rPr>
                <w:b w:val="0"/>
                <w:sz w:val="14"/>
              </w:rPr>
              <w:t>44</w:t>
            </w:r>
          </w:p>
        </w:tc>
        <w:tc>
          <w:tcPr>
            <w:tcW w:type="dxa" w:w="1944"/>
            <w:vAlign w:val="top"/>
          </w:tcPr>
          <w:p>
            <w:r/>
            <w:r>
              <w:rPr>
                <w:b w:val="0"/>
                <w:sz w:val="14"/>
              </w:rPr>
              <w:t>AI governance and cost control</w:t>
            </w:r>
          </w:p>
        </w:tc>
        <w:tc>
          <w:tcPr>
            <w:tcW w:type="dxa" w:w="1008"/>
            <w:vAlign w:val="top"/>
          </w:tcPr>
          <w:p>
            <w:r/>
            <w:r>
              <w:rPr>
                <w:b w:val="0"/>
                <w:sz w:val="14"/>
              </w:rPr>
              <w:t>High</w:t>
            </w:r>
          </w:p>
        </w:tc>
        <w:tc>
          <w:tcPr>
            <w:tcW w:type="dxa" w:w="2880"/>
            <w:vAlign w:val="top"/>
          </w:tcPr>
          <w:p>
            <w:r/>
            <w:r>
              <w:rPr>
                <w:b w:val="0"/>
                <w:sz w:val="14"/>
              </w:rPr>
              <w:t>Token estimates are approximate.</w:t>
            </w:r>
          </w:p>
        </w:tc>
        <w:tc>
          <w:tcPr>
            <w:tcW w:type="dxa" w:w="4320"/>
            <w:vAlign w:val="top"/>
          </w:tcPr>
          <w:p>
            <w:r/>
            <w:r>
              <w:rPr>
                <w:b w:val="0"/>
                <w:sz w:val="14"/>
              </w:rPr>
              <w:t>Use model-specific token counting or at least label the current counts as estimates in all reports.</w:t>
            </w:r>
          </w:p>
        </w:tc>
      </w:tr>
      <w:tr>
        <w:tc>
          <w:tcPr>
            <w:tcW w:type="dxa" w:w="504"/>
            <w:vAlign w:val="top"/>
          </w:tcPr>
          <w:p>
            <w:r/>
            <w:r>
              <w:rPr>
                <w:b w:val="0"/>
                <w:sz w:val="14"/>
              </w:rPr>
              <w:t>45</w:t>
            </w:r>
          </w:p>
        </w:tc>
        <w:tc>
          <w:tcPr>
            <w:tcW w:type="dxa" w:w="1944"/>
            <w:vAlign w:val="top"/>
          </w:tcPr>
          <w:p>
            <w:r/>
            <w:r>
              <w:rPr>
                <w:b w:val="0"/>
                <w:sz w:val="14"/>
              </w:rPr>
              <w:t>AI governance and cost control</w:t>
            </w:r>
          </w:p>
        </w:tc>
        <w:tc>
          <w:tcPr>
            <w:tcW w:type="dxa" w:w="1008"/>
            <w:vAlign w:val="top"/>
          </w:tcPr>
          <w:p>
            <w:r/>
            <w:r>
              <w:rPr>
                <w:b w:val="0"/>
                <w:sz w:val="14"/>
              </w:rPr>
              <w:t>High</w:t>
            </w:r>
          </w:p>
        </w:tc>
        <w:tc>
          <w:tcPr>
            <w:tcW w:type="dxa" w:w="2880"/>
            <w:vAlign w:val="top"/>
          </w:tcPr>
          <w:p>
            <w:r/>
            <w:r>
              <w:rPr>
                <w:b w:val="0"/>
                <w:sz w:val="14"/>
              </w:rPr>
              <w:t>Cache does not solve correctness.</w:t>
            </w:r>
          </w:p>
        </w:tc>
        <w:tc>
          <w:tcPr>
            <w:tcW w:type="dxa" w:w="4320"/>
            <w:vAlign w:val="top"/>
          </w:tcPr>
          <w:p>
            <w:r/>
            <w:r>
              <w:rPr>
                <w:b w:val="0"/>
                <w:sz w:val="14"/>
              </w:rPr>
              <w:t>Include prompt version, policy version, parser version, and source signature in cache keys, then expire cache entries when logic changes.</w:t>
            </w:r>
          </w:p>
        </w:tc>
      </w:tr>
      <w:tr>
        <w:tc>
          <w:tcPr>
            <w:tcW w:type="dxa" w:w="504"/>
            <w:vAlign w:val="top"/>
          </w:tcPr>
          <w:p>
            <w:r/>
            <w:r>
              <w:rPr>
                <w:b w:val="0"/>
                <w:sz w:val="14"/>
              </w:rPr>
              <w:t>46</w:t>
            </w:r>
          </w:p>
        </w:tc>
        <w:tc>
          <w:tcPr>
            <w:tcW w:type="dxa" w:w="1944"/>
            <w:vAlign w:val="top"/>
          </w:tcPr>
          <w:p>
            <w:r/>
            <w:r>
              <w:rPr>
                <w:b w:val="0"/>
                <w:sz w:val="14"/>
              </w:rPr>
              <w:t>AI governance and cost control</w:t>
            </w:r>
          </w:p>
        </w:tc>
        <w:tc>
          <w:tcPr>
            <w:tcW w:type="dxa" w:w="1008"/>
            <w:vAlign w:val="top"/>
          </w:tcPr>
          <w:p>
            <w:r/>
            <w:r>
              <w:rPr>
                <w:b w:val="0"/>
                <w:sz w:val="14"/>
              </w:rPr>
              <w:t>High</w:t>
            </w:r>
          </w:p>
        </w:tc>
        <w:tc>
          <w:tcPr>
            <w:tcW w:type="dxa" w:w="2880"/>
            <w:vAlign w:val="top"/>
          </w:tcPr>
          <w:p>
            <w:r/>
            <w:r>
              <w:rPr>
                <w:b w:val="0"/>
                <w:sz w:val="14"/>
              </w:rPr>
              <w:t>AI fallback could become a crutch.</w:t>
            </w:r>
          </w:p>
        </w:tc>
        <w:tc>
          <w:tcPr>
            <w:tcW w:type="dxa" w:w="4320"/>
            <w:vAlign w:val="top"/>
          </w:tcPr>
          <w:p>
            <w:r/>
            <w:r>
              <w:rPr>
                <w:b w:val="0"/>
                <w:sz w:val="14"/>
              </w:rPr>
              <w:t>Use AI only for bounded missing-field repair, classification proposals, and summary drafting, not as the main workflow engine.</w:t>
            </w:r>
          </w:p>
        </w:tc>
      </w:tr>
      <w:tr>
        <w:tc>
          <w:tcPr>
            <w:tcW w:type="dxa" w:w="504"/>
            <w:vAlign w:val="top"/>
          </w:tcPr>
          <w:p>
            <w:r/>
            <w:r>
              <w:rPr>
                <w:b w:val="0"/>
                <w:sz w:val="14"/>
              </w:rPr>
              <w:t>47</w:t>
            </w:r>
          </w:p>
        </w:tc>
        <w:tc>
          <w:tcPr>
            <w:tcW w:type="dxa" w:w="1944"/>
            <w:vAlign w:val="top"/>
          </w:tcPr>
          <w:p>
            <w:r/>
            <w:r>
              <w:rPr>
                <w:b w:val="0"/>
                <w:sz w:val="14"/>
              </w:rPr>
              <w:t>AI governance and cost control</w:t>
            </w:r>
          </w:p>
        </w:tc>
        <w:tc>
          <w:tcPr>
            <w:tcW w:type="dxa" w:w="1008"/>
            <w:vAlign w:val="top"/>
          </w:tcPr>
          <w:p>
            <w:r/>
            <w:r>
              <w:rPr>
                <w:b w:val="0"/>
                <w:sz w:val="14"/>
              </w:rPr>
              <w:t>Medium</w:t>
            </w:r>
          </w:p>
        </w:tc>
        <w:tc>
          <w:tcPr>
            <w:tcW w:type="dxa" w:w="2880"/>
            <w:vAlign w:val="top"/>
          </w:tcPr>
          <w:p>
            <w:r/>
            <w:r>
              <w:rPr>
                <w:b w:val="0"/>
                <w:sz w:val="14"/>
              </w:rPr>
              <w:t>No model output confidence calibration exists.</w:t>
            </w:r>
          </w:p>
        </w:tc>
        <w:tc>
          <w:tcPr>
            <w:tcW w:type="dxa" w:w="4320"/>
            <w:vAlign w:val="top"/>
          </w:tcPr>
          <w:p>
            <w:r/>
            <w:r>
              <w:rPr>
                <w:b w:val="0"/>
                <w:sz w:val="14"/>
              </w:rPr>
              <w:t>Measure AI extractions against corrected fields and maintain per-field reliability metrics.</w:t>
            </w:r>
          </w:p>
        </w:tc>
      </w:tr>
      <w:tr>
        <w:tc>
          <w:tcPr>
            <w:tcW w:type="dxa" w:w="504"/>
            <w:vAlign w:val="top"/>
          </w:tcPr>
          <w:p>
            <w:r/>
            <w:r>
              <w:rPr>
                <w:b w:val="0"/>
                <w:sz w:val="14"/>
              </w:rPr>
              <w:t>48</w:t>
            </w:r>
          </w:p>
        </w:tc>
        <w:tc>
          <w:tcPr>
            <w:tcW w:type="dxa" w:w="1944"/>
            <w:vAlign w:val="top"/>
          </w:tcPr>
          <w:p>
            <w:r/>
            <w:r>
              <w:rPr>
                <w:b w:val="0"/>
                <w:sz w:val="14"/>
              </w:rPr>
              <w:t>AI governance and cost control</w:t>
            </w:r>
          </w:p>
        </w:tc>
        <w:tc>
          <w:tcPr>
            <w:tcW w:type="dxa" w:w="1008"/>
            <w:vAlign w:val="top"/>
          </w:tcPr>
          <w:p>
            <w:r/>
            <w:r>
              <w:rPr>
                <w:b w:val="0"/>
                <w:sz w:val="14"/>
              </w:rPr>
              <w:t>Medium</w:t>
            </w:r>
          </w:p>
        </w:tc>
        <w:tc>
          <w:tcPr>
            <w:tcW w:type="dxa" w:w="2880"/>
            <w:vAlign w:val="top"/>
          </w:tcPr>
          <w:p>
            <w:r/>
            <w:r>
              <w:rPr>
                <w:b w:val="0"/>
                <w:sz w:val="14"/>
              </w:rPr>
              <w:t>The gateway has a duplicated model_name entry in the report payload.</w:t>
            </w:r>
          </w:p>
        </w:tc>
        <w:tc>
          <w:tcPr>
            <w:tcW w:type="dxa" w:w="4320"/>
            <w:vAlign w:val="top"/>
          </w:tcPr>
          <w:p>
            <w:r/>
            <w:r>
              <w:rPr>
                <w:b w:val="0"/>
                <w:sz w:val="14"/>
              </w:rPr>
              <w:t>Clean small report bugs now because they undermine trust in audit output later.</w:t>
            </w:r>
          </w:p>
        </w:tc>
      </w:tr>
      <w:tr>
        <w:tc>
          <w:tcPr>
            <w:tcW w:type="dxa" w:w="504"/>
            <w:vAlign w:val="top"/>
          </w:tcPr>
          <w:p>
            <w:r/>
            <w:r>
              <w:rPr>
                <w:b w:val="0"/>
                <w:sz w:val="14"/>
              </w:rPr>
              <w:t>49</w:t>
            </w:r>
          </w:p>
        </w:tc>
        <w:tc>
          <w:tcPr>
            <w:tcW w:type="dxa" w:w="1944"/>
            <w:vAlign w:val="top"/>
          </w:tcPr>
          <w:p>
            <w:r/>
            <w:r>
              <w:rPr>
                <w:b w:val="0"/>
                <w:sz w:val="14"/>
              </w:rPr>
              <w:t>AI governance and cost control</w:t>
            </w:r>
          </w:p>
        </w:tc>
        <w:tc>
          <w:tcPr>
            <w:tcW w:type="dxa" w:w="1008"/>
            <w:vAlign w:val="top"/>
          </w:tcPr>
          <w:p>
            <w:r/>
            <w:r>
              <w:rPr>
                <w:b w:val="0"/>
                <w:sz w:val="14"/>
              </w:rPr>
              <w:t>Medium</w:t>
            </w:r>
          </w:p>
        </w:tc>
        <w:tc>
          <w:tcPr>
            <w:tcW w:type="dxa" w:w="2880"/>
            <w:vAlign w:val="top"/>
          </w:tcPr>
          <w:p>
            <w:r/>
            <w:r>
              <w:rPr>
                <w:b w:val="0"/>
                <w:sz w:val="14"/>
              </w:rPr>
              <w:t>Atexit reporting is fragile.</w:t>
            </w:r>
          </w:p>
        </w:tc>
        <w:tc>
          <w:tcPr>
            <w:tcW w:type="dxa" w:w="4320"/>
            <w:vAlign w:val="top"/>
          </w:tcPr>
          <w:p>
            <w:r/>
            <w:r>
              <w:rPr>
                <w:b w:val="0"/>
                <w:sz w:val="14"/>
              </w:rPr>
              <w:t>Write usage reports incrementally or at job completion, not only on process exit.</w:t>
            </w:r>
          </w:p>
        </w:tc>
      </w:tr>
      <w:tr>
        <w:tc>
          <w:tcPr>
            <w:tcW w:type="dxa" w:w="504"/>
            <w:vAlign w:val="top"/>
          </w:tcPr>
          <w:p>
            <w:r/>
            <w:r>
              <w:rPr>
                <w:b w:val="0"/>
                <w:sz w:val="14"/>
              </w:rPr>
              <w:t>50</w:t>
            </w:r>
          </w:p>
        </w:tc>
        <w:tc>
          <w:tcPr>
            <w:tcW w:type="dxa" w:w="1944"/>
            <w:vAlign w:val="top"/>
          </w:tcPr>
          <w:p>
            <w:r/>
            <w:r>
              <w:rPr>
                <w:b w:val="0"/>
                <w:sz w:val="14"/>
              </w:rPr>
              <w:t>Security and privacy</w:t>
            </w:r>
          </w:p>
        </w:tc>
        <w:tc>
          <w:tcPr>
            <w:tcW w:type="dxa" w:w="1008"/>
            <w:vAlign w:val="top"/>
          </w:tcPr>
          <w:p>
            <w:r/>
            <w:r>
              <w:rPr>
                <w:b w:val="0"/>
                <w:sz w:val="14"/>
              </w:rPr>
              <w:t>Blocker</w:t>
            </w:r>
          </w:p>
        </w:tc>
        <w:tc>
          <w:tcPr>
            <w:tcW w:type="dxa" w:w="2880"/>
            <w:vAlign w:val="top"/>
          </w:tcPr>
          <w:p>
            <w:r/>
            <w:r>
              <w:rPr>
                <w:b w:val="0"/>
                <w:sz w:val="14"/>
              </w:rPr>
              <w:t>Email content is sensitive operational data.</w:t>
            </w:r>
          </w:p>
        </w:tc>
        <w:tc>
          <w:tcPr>
            <w:tcW w:type="dxa" w:w="4320"/>
            <w:vAlign w:val="top"/>
          </w:tcPr>
          <w:p>
            <w:r/>
            <w:r>
              <w:rPr>
                <w:b w:val="0"/>
                <w:sz w:val="14"/>
              </w:rPr>
              <w:t>Define retention, redaction, access control, export control, and deletion policies for raw_body, normalized_text, outbound bodies, and AI prompts.</w:t>
            </w:r>
          </w:p>
        </w:tc>
      </w:tr>
      <w:tr>
        <w:tc>
          <w:tcPr>
            <w:tcW w:type="dxa" w:w="504"/>
            <w:vAlign w:val="top"/>
          </w:tcPr>
          <w:p>
            <w:r/>
            <w:r>
              <w:rPr>
                <w:b w:val="0"/>
                <w:sz w:val="14"/>
              </w:rPr>
              <w:t>51</w:t>
            </w:r>
          </w:p>
        </w:tc>
        <w:tc>
          <w:tcPr>
            <w:tcW w:type="dxa" w:w="1944"/>
            <w:vAlign w:val="top"/>
          </w:tcPr>
          <w:p>
            <w:r/>
            <w:r>
              <w:rPr>
                <w:b w:val="0"/>
                <w:sz w:val="14"/>
              </w:rPr>
              <w:t>Security and privacy</w:t>
            </w:r>
          </w:p>
        </w:tc>
        <w:tc>
          <w:tcPr>
            <w:tcW w:type="dxa" w:w="1008"/>
            <w:vAlign w:val="top"/>
          </w:tcPr>
          <w:p>
            <w:r/>
            <w:r>
              <w:rPr>
                <w:b w:val="0"/>
                <w:sz w:val="14"/>
              </w:rPr>
              <w:t>High</w:t>
            </w:r>
          </w:p>
        </w:tc>
        <w:tc>
          <w:tcPr>
            <w:tcW w:type="dxa" w:w="2880"/>
            <w:vAlign w:val="top"/>
          </w:tcPr>
          <w:p>
            <w:r/>
            <w:r>
              <w:rPr>
                <w:b w:val="0"/>
                <w:sz w:val="14"/>
              </w:rPr>
              <w:t>Prompt-injection detection is regex-only.</w:t>
            </w:r>
          </w:p>
        </w:tc>
        <w:tc>
          <w:tcPr>
            <w:tcW w:type="dxa" w:w="4320"/>
            <w:vAlign w:val="top"/>
          </w:tcPr>
          <w:p>
            <w:r/>
            <w:r>
              <w:rPr>
                <w:b w:val="0"/>
                <w:sz w:val="14"/>
              </w:rPr>
              <w:t>Layer defenses: content isolation, schema-only outputs, allowlisted actions, outbound scanners, suspicious phrase review, and no direct tool execution from email text.</w:t>
            </w:r>
          </w:p>
        </w:tc>
      </w:tr>
      <w:tr>
        <w:tc>
          <w:tcPr>
            <w:tcW w:type="dxa" w:w="504"/>
            <w:vAlign w:val="top"/>
          </w:tcPr>
          <w:p>
            <w:r/>
            <w:r>
              <w:rPr>
                <w:b w:val="0"/>
                <w:sz w:val="14"/>
              </w:rPr>
              <w:t>52</w:t>
            </w:r>
          </w:p>
        </w:tc>
        <w:tc>
          <w:tcPr>
            <w:tcW w:type="dxa" w:w="1944"/>
            <w:vAlign w:val="top"/>
          </w:tcPr>
          <w:p>
            <w:r/>
            <w:r>
              <w:rPr>
                <w:b w:val="0"/>
                <w:sz w:val="14"/>
              </w:rPr>
              <w:t>Security and privacy</w:t>
            </w:r>
          </w:p>
        </w:tc>
        <w:tc>
          <w:tcPr>
            <w:tcW w:type="dxa" w:w="1008"/>
            <w:vAlign w:val="top"/>
          </w:tcPr>
          <w:p>
            <w:r/>
            <w:r>
              <w:rPr>
                <w:b w:val="0"/>
                <w:sz w:val="14"/>
              </w:rPr>
              <w:t>High</w:t>
            </w:r>
          </w:p>
        </w:tc>
        <w:tc>
          <w:tcPr>
            <w:tcW w:type="dxa" w:w="2880"/>
            <w:vAlign w:val="top"/>
          </w:tcPr>
          <w:p>
            <w:r/>
            <w:r>
              <w:rPr>
                <w:b w:val="0"/>
                <w:sz w:val="14"/>
              </w:rPr>
              <w:t>No secrets-management plan exists.</w:t>
            </w:r>
          </w:p>
        </w:tc>
        <w:tc>
          <w:tcPr>
            <w:tcW w:type="dxa" w:w="4320"/>
            <w:vAlign w:val="top"/>
          </w:tcPr>
          <w:p>
            <w:r/>
            <w:r>
              <w:rPr>
                <w:b w:val="0"/>
                <w:sz w:val="14"/>
              </w:rPr>
              <w:t>Move beyond local .env for production. Use a secrets manager, rotation, and least-privilege credentials.</w:t>
            </w:r>
          </w:p>
        </w:tc>
      </w:tr>
      <w:tr>
        <w:tc>
          <w:tcPr>
            <w:tcW w:type="dxa" w:w="504"/>
            <w:vAlign w:val="top"/>
          </w:tcPr>
          <w:p>
            <w:r/>
            <w:r>
              <w:rPr>
                <w:b w:val="0"/>
                <w:sz w:val="14"/>
              </w:rPr>
              <w:t>53</w:t>
            </w:r>
          </w:p>
        </w:tc>
        <w:tc>
          <w:tcPr>
            <w:tcW w:type="dxa" w:w="1944"/>
            <w:vAlign w:val="top"/>
          </w:tcPr>
          <w:p>
            <w:r/>
            <w:r>
              <w:rPr>
                <w:b w:val="0"/>
                <w:sz w:val="14"/>
              </w:rPr>
              <w:t>Security and privacy</w:t>
            </w:r>
          </w:p>
        </w:tc>
        <w:tc>
          <w:tcPr>
            <w:tcW w:type="dxa" w:w="1008"/>
            <w:vAlign w:val="top"/>
          </w:tcPr>
          <w:p>
            <w:r/>
            <w:r>
              <w:rPr>
                <w:b w:val="0"/>
                <w:sz w:val="14"/>
              </w:rPr>
              <w:t>High</w:t>
            </w:r>
          </w:p>
        </w:tc>
        <w:tc>
          <w:tcPr>
            <w:tcW w:type="dxa" w:w="2880"/>
            <w:vAlign w:val="top"/>
          </w:tcPr>
          <w:p>
            <w:r/>
            <w:r>
              <w:rPr>
                <w:b w:val="0"/>
                <w:sz w:val="14"/>
              </w:rPr>
              <w:t>No audit user identity exists.</w:t>
            </w:r>
          </w:p>
        </w:tc>
        <w:tc>
          <w:tcPr>
            <w:tcW w:type="dxa" w:w="4320"/>
            <w:vAlign w:val="top"/>
          </w:tcPr>
          <w:p>
            <w:r/>
            <w:r>
              <w:rPr>
                <w:b w:val="0"/>
                <w:sz w:val="14"/>
              </w:rPr>
              <w:t>Every manual review action, case edit, send, closure, merge, and policy override should store the user and timestamp.</w:t>
            </w:r>
          </w:p>
        </w:tc>
      </w:tr>
      <w:tr>
        <w:tc>
          <w:tcPr>
            <w:tcW w:type="dxa" w:w="504"/>
            <w:vAlign w:val="top"/>
          </w:tcPr>
          <w:p>
            <w:r/>
            <w:r>
              <w:rPr>
                <w:b w:val="0"/>
                <w:sz w:val="14"/>
              </w:rPr>
              <w:t>54</w:t>
            </w:r>
          </w:p>
        </w:tc>
        <w:tc>
          <w:tcPr>
            <w:tcW w:type="dxa" w:w="1944"/>
            <w:vAlign w:val="top"/>
          </w:tcPr>
          <w:p>
            <w:r/>
            <w:r>
              <w:rPr>
                <w:b w:val="0"/>
                <w:sz w:val="14"/>
              </w:rPr>
              <w:t>Security and privacy</w:t>
            </w:r>
          </w:p>
        </w:tc>
        <w:tc>
          <w:tcPr>
            <w:tcW w:type="dxa" w:w="1008"/>
            <w:vAlign w:val="top"/>
          </w:tcPr>
          <w:p>
            <w:r/>
            <w:r>
              <w:rPr>
                <w:b w:val="0"/>
                <w:sz w:val="14"/>
              </w:rPr>
              <w:t>Medium</w:t>
            </w:r>
          </w:p>
        </w:tc>
        <w:tc>
          <w:tcPr>
            <w:tcW w:type="dxa" w:w="2880"/>
            <w:vAlign w:val="top"/>
          </w:tcPr>
          <w:p>
            <w:r/>
            <w:r>
              <w:rPr>
                <w:b w:val="0"/>
                <w:sz w:val="14"/>
              </w:rPr>
              <w:t>No attachment policy is visible.</w:t>
            </w:r>
          </w:p>
        </w:tc>
        <w:tc>
          <w:tcPr>
            <w:tcW w:type="dxa" w:w="4320"/>
            <w:vAlign w:val="top"/>
          </w:tcPr>
          <w:p>
            <w:r/>
            <w:r>
              <w:rPr>
                <w:b w:val="0"/>
                <w:sz w:val="14"/>
              </w:rPr>
              <w:t>Define whether attachments are ignored, stored, scanned, parsed, or blocked. Do not let attachments quietly disappear if they matter.</w:t>
            </w:r>
          </w:p>
        </w:tc>
      </w:tr>
      <w:tr>
        <w:tc>
          <w:tcPr>
            <w:tcW w:type="dxa" w:w="504"/>
            <w:vAlign w:val="top"/>
          </w:tcPr>
          <w:p>
            <w:r/>
            <w:r>
              <w:rPr>
                <w:b w:val="0"/>
                <w:sz w:val="14"/>
              </w:rPr>
              <w:t>55</w:t>
            </w:r>
          </w:p>
        </w:tc>
        <w:tc>
          <w:tcPr>
            <w:tcW w:type="dxa" w:w="1944"/>
            <w:vAlign w:val="top"/>
          </w:tcPr>
          <w:p>
            <w:r/>
            <w:r>
              <w:rPr>
                <w:b w:val="0"/>
                <w:sz w:val="14"/>
              </w:rPr>
              <w:t>Security and privacy</w:t>
            </w:r>
          </w:p>
        </w:tc>
        <w:tc>
          <w:tcPr>
            <w:tcW w:type="dxa" w:w="1008"/>
            <w:vAlign w:val="top"/>
          </w:tcPr>
          <w:p>
            <w:r/>
            <w:r>
              <w:rPr>
                <w:b w:val="0"/>
                <w:sz w:val="14"/>
              </w:rPr>
              <w:t>Medium</w:t>
            </w:r>
          </w:p>
        </w:tc>
        <w:tc>
          <w:tcPr>
            <w:tcW w:type="dxa" w:w="2880"/>
            <w:vAlign w:val="top"/>
          </w:tcPr>
          <w:p>
            <w:r/>
            <w:r>
              <w:rPr>
                <w:b w:val="0"/>
                <w:sz w:val="14"/>
              </w:rPr>
              <w:t>No outbound content safety pass exists.</w:t>
            </w:r>
          </w:p>
        </w:tc>
        <w:tc>
          <w:tcPr>
            <w:tcW w:type="dxa" w:w="4320"/>
            <w:vAlign w:val="top"/>
          </w:tcPr>
          <w:p>
            <w:r/>
            <w:r>
              <w:rPr>
                <w:b w:val="0"/>
                <w:sz w:val="14"/>
              </w:rPr>
              <w:t>Before send, validate recipients, subject prefix, body content, confidential data, missing case ID, and policy-approved action language.</w:t>
            </w:r>
          </w:p>
        </w:tc>
      </w:tr>
      <w:tr>
        <w:tc>
          <w:tcPr>
            <w:tcW w:type="dxa" w:w="504"/>
            <w:vAlign w:val="top"/>
          </w:tcPr>
          <w:p>
            <w:r/>
            <w:r>
              <w:rPr>
                <w:b w:val="0"/>
                <w:sz w:val="14"/>
              </w:rPr>
              <w:t>56</w:t>
            </w:r>
          </w:p>
        </w:tc>
        <w:tc>
          <w:tcPr>
            <w:tcW w:type="dxa" w:w="1944"/>
            <w:vAlign w:val="top"/>
          </w:tcPr>
          <w:p>
            <w:r/>
            <w:r>
              <w:rPr>
                <w:b w:val="0"/>
                <w:sz w:val="14"/>
              </w:rPr>
              <w:t>Security and privacy</w:t>
            </w:r>
          </w:p>
        </w:tc>
        <w:tc>
          <w:tcPr>
            <w:tcW w:type="dxa" w:w="1008"/>
            <w:vAlign w:val="top"/>
          </w:tcPr>
          <w:p>
            <w:r/>
            <w:r>
              <w:rPr>
                <w:b w:val="0"/>
                <w:sz w:val="14"/>
              </w:rPr>
              <w:t>Medium</w:t>
            </w:r>
          </w:p>
        </w:tc>
        <w:tc>
          <w:tcPr>
            <w:tcW w:type="dxa" w:w="2880"/>
            <w:vAlign w:val="top"/>
          </w:tcPr>
          <w:p>
            <w:r/>
            <w:r>
              <w:rPr>
                <w:b w:val="0"/>
                <w:sz w:val="14"/>
              </w:rPr>
              <w:t>No phishing/spoofing checks are modeled.</w:t>
            </w:r>
          </w:p>
        </w:tc>
        <w:tc>
          <w:tcPr>
            <w:tcW w:type="dxa" w:w="4320"/>
            <w:vAlign w:val="top"/>
          </w:tcPr>
          <w:p>
            <w:r/>
            <w:r>
              <w:rPr>
                <w:b w:val="0"/>
                <w:sz w:val="14"/>
              </w:rPr>
              <w:t>Use SPF/DKIM/DMARC results if available, sender allowlists, domain checks, and suspicious link detection.</w:t>
            </w:r>
          </w:p>
        </w:tc>
      </w:tr>
      <w:tr>
        <w:tc>
          <w:tcPr>
            <w:tcW w:type="dxa" w:w="504"/>
            <w:vAlign w:val="top"/>
          </w:tcPr>
          <w:p>
            <w:r/>
            <w:r>
              <w:rPr>
                <w:b w:val="0"/>
                <w:sz w:val="14"/>
              </w:rPr>
              <w:t>57</w:t>
            </w:r>
          </w:p>
        </w:tc>
        <w:tc>
          <w:tcPr>
            <w:tcW w:type="dxa" w:w="1944"/>
            <w:vAlign w:val="top"/>
          </w:tcPr>
          <w:p>
            <w:r/>
            <w:r>
              <w:rPr>
                <w:b w:val="0"/>
                <w:sz w:val="14"/>
              </w:rPr>
              <w:t>Database and data model</w:t>
            </w:r>
          </w:p>
        </w:tc>
        <w:tc>
          <w:tcPr>
            <w:tcW w:type="dxa" w:w="1008"/>
            <w:vAlign w:val="top"/>
          </w:tcPr>
          <w:p>
            <w:r/>
            <w:r>
              <w:rPr>
                <w:b w:val="0"/>
                <w:sz w:val="14"/>
              </w:rPr>
              <w:t>Blocker</w:t>
            </w:r>
          </w:p>
        </w:tc>
        <w:tc>
          <w:tcPr>
            <w:tcW w:type="dxa" w:w="2880"/>
            <w:vAlign w:val="top"/>
          </w:tcPr>
          <w:p>
            <w:r/>
            <w:r>
              <w:rPr>
                <w:b w:val="0"/>
                <w:sz w:val="14"/>
              </w:rPr>
              <w:t>SQLite is not the production database.</w:t>
            </w:r>
          </w:p>
        </w:tc>
        <w:tc>
          <w:tcPr>
            <w:tcW w:type="dxa" w:w="4320"/>
            <w:vAlign w:val="top"/>
          </w:tcPr>
          <w:p>
            <w:r/>
            <w:r>
              <w:rPr>
                <w:b w:val="0"/>
                <w:sz w:val="14"/>
              </w:rPr>
              <w:t>Move to Postgres for multi-user, multi-worker, auditable operations. Keep SQLite for local demos and tests.</w:t>
            </w:r>
          </w:p>
        </w:tc>
      </w:tr>
      <w:tr>
        <w:tc>
          <w:tcPr>
            <w:tcW w:type="dxa" w:w="504"/>
            <w:vAlign w:val="top"/>
          </w:tcPr>
          <w:p>
            <w:r/>
            <w:r>
              <w:rPr>
                <w:b w:val="0"/>
                <w:sz w:val="14"/>
              </w:rPr>
              <w:t>58</w:t>
            </w:r>
          </w:p>
        </w:tc>
        <w:tc>
          <w:tcPr>
            <w:tcW w:type="dxa" w:w="1944"/>
            <w:vAlign w:val="top"/>
          </w:tcPr>
          <w:p>
            <w:r/>
            <w:r>
              <w:rPr>
                <w:b w:val="0"/>
                <w:sz w:val="14"/>
              </w:rPr>
              <w:t>Database and data model</w:t>
            </w:r>
          </w:p>
        </w:tc>
        <w:tc>
          <w:tcPr>
            <w:tcW w:type="dxa" w:w="1008"/>
            <w:vAlign w:val="top"/>
          </w:tcPr>
          <w:p>
            <w:r/>
            <w:r>
              <w:rPr>
                <w:b w:val="0"/>
                <w:sz w:val="14"/>
              </w:rPr>
              <w:t>Blocker</w:t>
            </w:r>
          </w:p>
        </w:tc>
        <w:tc>
          <w:tcPr>
            <w:tcW w:type="dxa" w:w="2880"/>
            <w:vAlign w:val="top"/>
          </w:tcPr>
          <w:p>
            <w:r/>
            <w:r>
              <w:rPr>
                <w:b w:val="0"/>
                <w:sz w:val="14"/>
              </w:rPr>
              <w:t>No schema migrations.</w:t>
            </w:r>
          </w:p>
        </w:tc>
        <w:tc>
          <w:tcPr>
            <w:tcW w:type="dxa" w:w="4320"/>
            <w:vAlign w:val="top"/>
          </w:tcPr>
          <w:p>
            <w:r/>
            <w:r>
              <w:rPr>
                <w:b w:val="0"/>
                <w:sz w:val="14"/>
              </w:rPr>
              <w:t>Add Alembic or an equivalent migration system, plus migration tests and rollback notes.</w:t>
            </w:r>
          </w:p>
        </w:tc>
      </w:tr>
      <w:tr>
        <w:tc>
          <w:tcPr>
            <w:tcW w:type="dxa" w:w="504"/>
            <w:vAlign w:val="top"/>
          </w:tcPr>
          <w:p>
            <w:r/>
            <w:r>
              <w:rPr>
                <w:b w:val="0"/>
                <w:sz w:val="14"/>
              </w:rPr>
              <w:t>59</w:t>
            </w:r>
          </w:p>
        </w:tc>
        <w:tc>
          <w:tcPr>
            <w:tcW w:type="dxa" w:w="1944"/>
            <w:vAlign w:val="top"/>
          </w:tcPr>
          <w:p>
            <w:r/>
            <w:r>
              <w:rPr>
                <w:b w:val="0"/>
                <w:sz w:val="14"/>
              </w:rPr>
              <w:t>Database and data model</w:t>
            </w:r>
          </w:p>
        </w:tc>
        <w:tc>
          <w:tcPr>
            <w:tcW w:type="dxa" w:w="1008"/>
            <w:vAlign w:val="top"/>
          </w:tcPr>
          <w:p>
            <w:r/>
            <w:r>
              <w:rPr>
                <w:b w:val="0"/>
                <w:sz w:val="14"/>
              </w:rPr>
              <w:t>High</w:t>
            </w:r>
          </w:p>
        </w:tc>
        <w:tc>
          <w:tcPr>
            <w:tcW w:type="dxa" w:w="2880"/>
            <w:vAlign w:val="top"/>
          </w:tcPr>
          <w:p>
            <w:r/>
            <w:r>
              <w:rPr>
                <w:b w:val="0"/>
                <w:sz w:val="14"/>
              </w:rPr>
              <w:t>The case table is too thin.</w:t>
            </w:r>
          </w:p>
        </w:tc>
        <w:tc>
          <w:tcPr>
            <w:tcW w:type="dxa" w:w="4320"/>
            <w:vAlign w:val="top"/>
          </w:tcPr>
          <w:p>
            <w:r/>
            <w:r>
              <w:rPr>
                <w:b w:val="0"/>
                <w:sz w:val="14"/>
              </w:rPr>
              <w:t>Add policy_version, source_system, external_refs, SLA fields, routing state, closure evidence, and display title.</w:t>
            </w:r>
          </w:p>
        </w:tc>
      </w:tr>
      <w:tr>
        <w:tc>
          <w:tcPr>
            <w:tcW w:type="dxa" w:w="504"/>
            <w:vAlign w:val="top"/>
          </w:tcPr>
          <w:p>
            <w:r/>
            <w:r>
              <w:rPr>
                <w:b w:val="0"/>
                <w:sz w:val="14"/>
              </w:rPr>
              <w:t>60</w:t>
            </w:r>
          </w:p>
        </w:tc>
        <w:tc>
          <w:tcPr>
            <w:tcW w:type="dxa" w:w="1944"/>
            <w:vAlign w:val="top"/>
          </w:tcPr>
          <w:p>
            <w:r/>
            <w:r>
              <w:rPr>
                <w:b w:val="0"/>
                <w:sz w:val="14"/>
              </w:rPr>
              <w:t>Database and data model</w:t>
            </w:r>
          </w:p>
        </w:tc>
        <w:tc>
          <w:tcPr>
            <w:tcW w:type="dxa" w:w="1008"/>
            <w:vAlign w:val="top"/>
          </w:tcPr>
          <w:p>
            <w:r/>
            <w:r>
              <w:rPr>
                <w:b w:val="0"/>
                <w:sz w:val="14"/>
              </w:rPr>
              <w:t>High</w:t>
            </w:r>
          </w:p>
        </w:tc>
        <w:tc>
          <w:tcPr>
            <w:tcW w:type="dxa" w:w="2880"/>
            <w:vAlign w:val="top"/>
          </w:tcPr>
          <w:p>
            <w:r/>
            <w:r>
              <w:rPr>
                <w:b w:val="0"/>
                <w:sz w:val="14"/>
              </w:rPr>
              <w:t>Extracted fields are not constrained enough.</w:t>
            </w:r>
          </w:p>
        </w:tc>
        <w:tc>
          <w:tcPr>
            <w:tcW w:type="dxa" w:w="4320"/>
            <w:vAlign w:val="top"/>
          </w:tcPr>
          <w:p>
            <w:r/>
            <w:r>
              <w:rPr>
                <w:b w:val="0"/>
                <w:sz w:val="14"/>
              </w:rPr>
              <w:t>Add uniqueness policies, field provenance, normalized/raw values, parser version, and corrected_by user fields.</w:t>
            </w:r>
          </w:p>
        </w:tc>
      </w:tr>
      <w:tr>
        <w:tc>
          <w:tcPr>
            <w:tcW w:type="dxa" w:w="504"/>
            <w:vAlign w:val="top"/>
          </w:tcPr>
          <w:p>
            <w:r/>
            <w:r>
              <w:rPr>
                <w:b w:val="0"/>
                <w:sz w:val="14"/>
              </w:rPr>
              <w:t>61</w:t>
            </w:r>
          </w:p>
        </w:tc>
        <w:tc>
          <w:tcPr>
            <w:tcW w:type="dxa" w:w="1944"/>
            <w:vAlign w:val="top"/>
          </w:tcPr>
          <w:p>
            <w:r/>
            <w:r>
              <w:rPr>
                <w:b w:val="0"/>
                <w:sz w:val="14"/>
              </w:rPr>
              <w:t>Database and data model</w:t>
            </w:r>
          </w:p>
        </w:tc>
        <w:tc>
          <w:tcPr>
            <w:tcW w:type="dxa" w:w="1008"/>
            <w:vAlign w:val="top"/>
          </w:tcPr>
          <w:p>
            <w:r/>
            <w:r>
              <w:rPr>
                <w:b w:val="0"/>
                <w:sz w:val="14"/>
              </w:rPr>
              <w:t>High</w:t>
            </w:r>
          </w:p>
        </w:tc>
        <w:tc>
          <w:tcPr>
            <w:tcW w:type="dxa" w:w="2880"/>
            <w:vAlign w:val="top"/>
          </w:tcPr>
          <w:p>
            <w:r/>
            <w:r>
              <w:rPr>
                <w:b w:val="0"/>
                <w:sz w:val="14"/>
              </w:rPr>
              <w:t>Outbound_messages does not fully model delivery.</w:t>
            </w:r>
          </w:p>
        </w:tc>
        <w:tc>
          <w:tcPr>
            <w:tcW w:type="dxa" w:w="4320"/>
            <w:vAlign w:val="top"/>
          </w:tcPr>
          <w:p>
            <w:r/>
            <w:r>
              <w:rPr>
                <w:b w:val="0"/>
                <w:sz w:val="14"/>
              </w:rPr>
              <w:t>Add attempts, provider response, error code, bounce tracking, retry policy, sent_by, approved_by, and recipient validation state.</w:t>
            </w:r>
          </w:p>
        </w:tc>
      </w:tr>
      <w:tr>
        <w:tc>
          <w:tcPr>
            <w:tcW w:type="dxa" w:w="504"/>
            <w:vAlign w:val="top"/>
          </w:tcPr>
          <w:p>
            <w:r/>
            <w:r>
              <w:rPr>
                <w:b w:val="0"/>
                <w:sz w:val="14"/>
              </w:rPr>
              <w:t>62</w:t>
            </w:r>
          </w:p>
        </w:tc>
        <w:tc>
          <w:tcPr>
            <w:tcW w:type="dxa" w:w="1944"/>
            <w:vAlign w:val="top"/>
          </w:tcPr>
          <w:p>
            <w:r/>
            <w:r>
              <w:rPr>
                <w:b w:val="0"/>
                <w:sz w:val="14"/>
              </w:rPr>
              <w:t>Database and data model</w:t>
            </w:r>
          </w:p>
        </w:tc>
        <w:tc>
          <w:tcPr>
            <w:tcW w:type="dxa" w:w="1008"/>
            <w:vAlign w:val="top"/>
          </w:tcPr>
          <w:p>
            <w:r/>
            <w:r>
              <w:rPr>
                <w:b w:val="0"/>
                <w:sz w:val="14"/>
              </w:rPr>
              <w:t>Medium</w:t>
            </w:r>
          </w:p>
        </w:tc>
        <w:tc>
          <w:tcPr>
            <w:tcW w:type="dxa" w:w="2880"/>
            <w:vAlign w:val="top"/>
          </w:tcPr>
          <w:p>
            <w:r/>
            <w:r>
              <w:rPr>
                <w:b w:val="0"/>
                <w:sz w:val="14"/>
              </w:rPr>
              <w:t>No data lifecycle management.</w:t>
            </w:r>
          </w:p>
        </w:tc>
        <w:tc>
          <w:tcPr>
            <w:tcW w:type="dxa" w:w="4320"/>
            <w:vAlign w:val="top"/>
          </w:tcPr>
          <w:p>
            <w:r/>
            <w:r>
              <w:rPr>
                <w:b w:val="0"/>
                <w:sz w:val="14"/>
              </w:rPr>
              <w:t>Define archiving, retention windows, PII scrubbing, and export formats.</w:t>
            </w:r>
          </w:p>
        </w:tc>
      </w:tr>
      <w:tr>
        <w:tc>
          <w:tcPr>
            <w:tcW w:type="dxa" w:w="504"/>
            <w:vAlign w:val="top"/>
          </w:tcPr>
          <w:p>
            <w:r/>
            <w:r>
              <w:rPr>
                <w:b w:val="0"/>
                <w:sz w:val="14"/>
              </w:rPr>
              <w:t>63</w:t>
            </w:r>
          </w:p>
        </w:tc>
        <w:tc>
          <w:tcPr>
            <w:tcW w:type="dxa" w:w="1944"/>
            <w:vAlign w:val="top"/>
          </w:tcPr>
          <w:p>
            <w:r/>
            <w:r>
              <w:rPr>
                <w:b w:val="0"/>
                <w:sz w:val="14"/>
              </w:rPr>
              <w:t>Database and data model</w:t>
            </w:r>
          </w:p>
        </w:tc>
        <w:tc>
          <w:tcPr>
            <w:tcW w:type="dxa" w:w="1008"/>
            <w:vAlign w:val="top"/>
          </w:tcPr>
          <w:p>
            <w:r/>
            <w:r>
              <w:rPr>
                <w:b w:val="0"/>
                <w:sz w:val="14"/>
              </w:rPr>
              <w:t>Medium</w:t>
            </w:r>
          </w:p>
        </w:tc>
        <w:tc>
          <w:tcPr>
            <w:tcW w:type="dxa" w:w="2880"/>
            <w:vAlign w:val="top"/>
          </w:tcPr>
          <w:p>
            <w:r/>
            <w:r>
              <w:rPr>
                <w:b w:val="0"/>
                <w:sz w:val="14"/>
              </w:rPr>
              <w:t>No idempotent ingestion guarantee across sources.</w:t>
            </w:r>
          </w:p>
        </w:tc>
        <w:tc>
          <w:tcPr>
            <w:tcW w:type="dxa" w:w="4320"/>
            <w:vAlign w:val="top"/>
          </w:tcPr>
          <w:p>
            <w:r/>
            <w:r>
              <w:rPr>
                <w:b w:val="0"/>
                <w:sz w:val="14"/>
              </w:rPr>
              <w:t>Use stable message fingerprints, source mailbox IDs, and import batch IDs to prevent duplicate historical and live imports.</w:t>
            </w:r>
          </w:p>
        </w:tc>
      </w:tr>
      <w:tr>
        <w:tc>
          <w:tcPr>
            <w:tcW w:type="dxa" w:w="504"/>
            <w:vAlign w:val="top"/>
          </w:tcPr>
          <w:p>
            <w:r/>
            <w:r>
              <w:rPr>
                <w:b w:val="0"/>
                <w:sz w:val="14"/>
              </w:rPr>
              <w:t>64</w:t>
            </w:r>
          </w:p>
        </w:tc>
        <w:tc>
          <w:tcPr>
            <w:tcW w:type="dxa" w:w="1944"/>
            <w:vAlign w:val="top"/>
          </w:tcPr>
          <w:p>
            <w:r/>
            <w:r>
              <w:rPr>
                <w:b w:val="0"/>
                <w:sz w:val="14"/>
              </w:rPr>
              <w:t>Backlog mode</w:t>
            </w:r>
          </w:p>
        </w:tc>
        <w:tc>
          <w:tcPr>
            <w:tcW w:type="dxa" w:w="1008"/>
            <w:vAlign w:val="top"/>
          </w:tcPr>
          <w:p>
            <w:r/>
            <w:r>
              <w:rPr>
                <w:b w:val="0"/>
                <w:sz w:val="14"/>
              </w:rPr>
              <w:t>High</w:t>
            </w:r>
          </w:p>
        </w:tc>
        <w:tc>
          <w:tcPr>
            <w:tcW w:type="dxa" w:w="2880"/>
            <w:vAlign w:val="top"/>
          </w:tcPr>
          <w:p>
            <w:r/>
            <w:r>
              <w:rPr>
                <w:b w:val="0"/>
                <w:sz w:val="14"/>
              </w:rPr>
              <w:t>JSON-only source support is too narrow.</w:t>
            </w:r>
          </w:p>
        </w:tc>
        <w:tc>
          <w:tcPr>
            <w:tcW w:type="dxa" w:w="4320"/>
            <w:vAlign w:val="top"/>
          </w:tcPr>
          <w:p>
            <w:r/>
            <w:r>
              <w:rPr>
                <w:b w:val="0"/>
                <w:sz w:val="14"/>
              </w:rPr>
              <w:t>Add first-class EML/MBOX support and a tested PST conversion pipeline that preserves headers, body, dates, and recipients.</w:t>
            </w:r>
          </w:p>
        </w:tc>
      </w:tr>
      <w:tr>
        <w:tc>
          <w:tcPr>
            <w:tcW w:type="dxa" w:w="504"/>
            <w:vAlign w:val="top"/>
          </w:tcPr>
          <w:p>
            <w:r/>
            <w:r>
              <w:rPr>
                <w:b w:val="0"/>
                <w:sz w:val="14"/>
              </w:rPr>
              <w:t>65</w:t>
            </w:r>
          </w:p>
        </w:tc>
        <w:tc>
          <w:tcPr>
            <w:tcW w:type="dxa" w:w="1944"/>
            <w:vAlign w:val="top"/>
          </w:tcPr>
          <w:p>
            <w:r/>
            <w:r>
              <w:rPr>
                <w:b w:val="0"/>
                <w:sz w:val="14"/>
              </w:rPr>
              <w:t>Backlog mode</w:t>
            </w:r>
          </w:p>
        </w:tc>
        <w:tc>
          <w:tcPr>
            <w:tcW w:type="dxa" w:w="1008"/>
            <w:vAlign w:val="top"/>
          </w:tcPr>
          <w:p>
            <w:r/>
            <w:r>
              <w:rPr>
                <w:b w:val="0"/>
                <w:sz w:val="14"/>
              </w:rPr>
              <w:t>High</w:t>
            </w:r>
          </w:p>
        </w:tc>
        <w:tc>
          <w:tcPr>
            <w:tcW w:type="dxa" w:w="2880"/>
            <w:vAlign w:val="top"/>
          </w:tcPr>
          <w:p>
            <w:r/>
            <w:r>
              <w:rPr>
                <w:b w:val="0"/>
                <w:sz w:val="14"/>
              </w:rPr>
              <w:t>Backlog mode rejects too much instead of learning.</w:t>
            </w:r>
          </w:p>
        </w:tc>
        <w:tc>
          <w:tcPr>
            <w:tcW w:type="dxa" w:w="4320"/>
            <w:vAlign w:val="top"/>
          </w:tcPr>
          <w:p>
            <w:r/>
            <w:r>
              <w:rPr>
                <w:b w:val="0"/>
                <w:sz w:val="14"/>
              </w:rPr>
              <w:t>Every rejected or review item should be categorized into actionable buckets: new parser, alias needed, non-KPI, unsupported KPI, extraction gap, malformed email.</w:t>
            </w:r>
          </w:p>
        </w:tc>
      </w:tr>
      <w:tr>
        <w:tc>
          <w:tcPr>
            <w:tcW w:type="dxa" w:w="504"/>
            <w:vAlign w:val="top"/>
          </w:tcPr>
          <w:p>
            <w:r/>
            <w:r>
              <w:rPr>
                <w:b w:val="0"/>
                <w:sz w:val="14"/>
              </w:rPr>
              <w:t>66</w:t>
            </w:r>
          </w:p>
        </w:tc>
        <w:tc>
          <w:tcPr>
            <w:tcW w:type="dxa" w:w="1944"/>
            <w:vAlign w:val="top"/>
          </w:tcPr>
          <w:p>
            <w:r/>
            <w:r>
              <w:rPr>
                <w:b w:val="0"/>
                <w:sz w:val="14"/>
              </w:rPr>
              <w:t>Backlog mode</w:t>
            </w:r>
          </w:p>
        </w:tc>
        <w:tc>
          <w:tcPr>
            <w:tcW w:type="dxa" w:w="1008"/>
            <w:vAlign w:val="top"/>
          </w:tcPr>
          <w:p>
            <w:r/>
            <w:r>
              <w:rPr>
                <w:b w:val="0"/>
                <w:sz w:val="14"/>
              </w:rPr>
              <w:t>High</w:t>
            </w:r>
          </w:p>
        </w:tc>
        <w:tc>
          <w:tcPr>
            <w:tcW w:type="dxa" w:w="2880"/>
            <w:vAlign w:val="top"/>
          </w:tcPr>
          <w:p>
            <w:r/>
            <w:r>
              <w:rPr>
                <w:b w:val="0"/>
                <w:sz w:val="14"/>
              </w:rPr>
              <w:t>No staged commit workflow.</w:t>
            </w:r>
          </w:p>
        </w:tc>
        <w:tc>
          <w:tcPr>
            <w:tcW w:type="dxa" w:w="4320"/>
            <w:vAlign w:val="top"/>
          </w:tcPr>
          <w:p>
            <w:r/>
            <w:r>
              <w:rPr>
                <w:b w:val="0"/>
                <w:sz w:val="14"/>
              </w:rPr>
              <w:t>Support import batches where users review acceptance plans, edit mappings, then commit with a batch ID and rollback option.</w:t>
            </w:r>
          </w:p>
        </w:tc>
      </w:tr>
      <w:tr>
        <w:tc>
          <w:tcPr>
            <w:tcW w:type="dxa" w:w="504"/>
            <w:vAlign w:val="top"/>
          </w:tcPr>
          <w:p>
            <w:r/>
            <w:r>
              <w:rPr>
                <w:b w:val="0"/>
                <w:sz w:val="14"/>
              </w:rPr>
              <w:t>67</w:t>
            </w:r>
          </w:p>
        </w:tc>
        <w:tc>
          <w:tcPr>
            <w:tcW w:type="dxa" w:w="1944"/>
            <w:vAlign w:val="top"/>
          </w:tcPr>
          <w:p>
            <w:r/>
            <w:r>
              <w:rPr>
                <w:b w:val="0"/>
                <w:sz w:val="14"/>
              </w:rPr>
              <w:t>Backlog mode</w:t>
            </w:r>
          </w:p>
        </w:tc>
        <w:tc>
          <w:tcPr>
            <w:tcW w:type="dxa" w:w="1008"/>
            <w:vAlign w:val="top"/>
          </w:tcPr>
          <w:p>
            <w:r/>
            <w:r>
              <w:rPr>
                <w:b w:val="0"/>
                <w:sz w:val="14"/>
              </w:rPr>
              <w:t>Medium</w:t>
            </w:r>
          </w:p>
        </w:tc>
        <w:tc>
          <w:tcPr>
            <w:tcW w:type="dxa" w:w="2880"/>
            <w:vAlign w:val="top"/>
          </w:tcPr>
          <w:p>
            <w:r/>
            <w:r>
              <w:rPr>
                <w:b w:val="0"/>
                <w:sz w:val="14"/>
              </w:rPr>
              <w:t>Body signature validation may be too strict.</w:t>
            </w:r>
          </w:p>
        </w:tc>
        <w:tc>
          <w:tcPr>
            <w:tcW w:type="dxa" w:w="4320"/>
            <w:vAlign w:val="top"/>
          </w:tcPr>
          <w:p>
            <w:r/>
            <w:r>
              <w:rPr>
                <w:b w:val="0"/>
                <w:sz w:val="14"/>
              </w:rPr>
              <w:t>Track near-matches and template drift so the system can adapt to real alert format changes.</w:t>
            </w:r>
          </w:p>
        </w:tc>
      </w:tr>
      <w:tr>
        <w:tc>
          <w:tcPr>
            <w:tcW w:type="dxa" w:w="504"/>
            <w:vAlign w:val="top"/>
          </w:tcPr>
          <w:p>
            <w:r/>
            <w:r>
              <w:rPr>
                <w:b w:val="0"/>
                <w:sz w:val="14"/>
              </w:rPr>
              <w:t>68</w:t>
            </w:r>
          </w:p>
        </w:tc>
        <w:tc>
          <w:tcPr>
            <w:tcW w:type="dxa" w:w="1944"/>
            <w:vAlign w:val="top"/>
          </w:tcPr>
          <w:p>
            <w:r/>
            <w:r>
              <w:rPr>
                <w:b w:val="0"/>
                <w:sz w:val="14"/>
              </w:rPr>
              <w:t>Backlog mode</w:t>
            </w:r>
          </w:p>
        </w:tc>
        <w:tc>
          <w:tcPr>
            <w:tcW w:type="dxa" w:w="1008"/>
            <w:vAlign w:val="top"/>
          </w:tcPr>
          <w:p>
            <w:r/>
            <w:r>
              <w:rPr>
                <w:b w:val="0"/>
                <w:sz w:val="14"/>
              </w:rPr>
              <w:t>Medium</w:t>
            </w:r>
          </w:p>
        </w:tc>
        <w:tc>
          <w:tcPr>
            <w:tcW w:type="dxa" w:w="2880"/>
            <w:vAlign w:val="top"/>
          </w:tcPr>
          <w:p>
            <w:r/>
            <w:r>
              <w:rPr>
                <w:b w:val="0"/>
                <w:sz w:val="14"/>
              </w:rPr>
              <w:t>Historical data should build memory carefully.</w:t>
            </w:r>
          </w:p>
        </w:tc>
        <w:tc>
          <w:tcPr>
            <w:tcW w:type="dxa" w:w="4320"/>
            <w:vAlign w:val="top"/>
          </w:tcPr>
          <w:p>
            <w:r/>
            <w:r>
              <w:rPr>
                <w:b w:val="0"/>
                <w:sz w:val="14"/>
              </w:rPr>
              <w:t>Mark imported observations as historical and prevent old unresolved items from triggering current escalations without a cutoff policy.</w:t>
            </w:r>
          </w:p>
        </w:tc>
      </w:tr>
      <w:tr>
        <w:tc>
          <w:tcPr>
            <w:tcW w:type="dxa" w:w="504"/>
            <w:vAlign w:val="top"/>
          </w:tcPr>
          <w:p>
            <w:r/>
            <w:r>
              <w:rPr>
                <w:b w:val="0"/>
                <w:sz w:val="14"/>
              </w:rPr>
              <w:t>69</w:t>
            </w:r>
          </w:p>
        </w:tc>
        <w:tc>
          <w:tcPr>
            <w:tcW w:type="dxa" w:w="1944"/>
            <w:vAlign w:val="top"/>
          </w:tcPr>
          <w:p>
            <w:r/>
            <w:r>
              <w:rPr>
                <w:b w:val="0"/>
                <w:sz w:val="14"/>
              </w:rPr>
              <w:t>Backlog mode</w:t>
            </w:r>
          </w:p>
        </w:tc>
        <w:tc>
          <w:tcPr>
            <w:tcW w:type="dxa" w:w="1008"/>
            <w:vAlign w:val="top"/>
          </w:tcPr>
          <w:p>
            <w:r/>
            <w:r>
              <w:rPr>
                <w:b w:val="0"/>
                <w:sz w:val="14"/>
              </w:rPr>
              <w:t>Medium</w:t>
            </w:r>
          </w:p>
        </w:tc>
        <w:tc>
          <w:tcPr>
            <w:tcW w:type="dxa" w:w="2880"/>
            <w:vAlign w:val="top"/>
          </w:tcPr>
          <w:p>
            <w:r/>
            <w:r>
              <w:rPr>
                <w:b w:val="0"/>
                <w:sz w:val="14"/>
              </w:rPr>
              <w:t>Reports need actionability.</w:t>
            </w:r>
          </w:p>
        </w:tc>
        <w:tc>
          <w:tcPr>
            <w:tcW w:type="dxa" w:w="4320"/>
            <w:vAlign w:val="top"/>
          </w:tcPr>
          <w:p>
            <w:r/>
            <w:r>
              <w:rPr>
                <w:b w:val="0"/>
                <w:sz w:val="14"/>
              </w:rPr>
              <w:t>Add next recommended parser rules, top unknown families, top missing fields, and estimated review-hours saved by each fix.</w:t>
            </w:r>
          </w:p>
        </w:tc>
      </w:tr>
      <w:tr>
        <w:tc>
          <w:tcPr>
            <w:tcW w:type="dxa" w:w="504"/>
            <w:vAlign w:val="top"/>
          </w:tcPr>
          <w:p>
            <w:r/>
            <w:r>
              <w:rPr>
                <w:b w:val="0"/>
                <w:sz w:val="14"/>
              </w:rPr>
              <w:t>70</w:t>
            </w:r>
          </w:p>
        </w:tc>
        <w:tc>
          <w:tcPr>
            <w:tcW w:type="dxa" w:w="1944"/>
            <w:vAlign w:val="top"/>
          </w:tcPr>
          <w:p>
            <w:r/>
            <w:r>
              <w:rPr>
                <w:b w:val="0"/>
                <w:sz w:val="14"/>
              </w:rPr>
              <w:t>Follow-ups and escalation</w:t>
            </w:r>
          </w:p>
        </w:tc>
        <w:tc>
          <w:tcPr>
            <w:tcW w:type="dxa" w:w="1008"/>
            <w:vAlign w:val="top"/>
          </w:tcPr>
          <w:p>
            <w:r/>
            <w:r>
              <w:rPr>
                <w:b w:val="0"/>
                <w:sz w:val="14"/>
              </w:rPr>
              <w:t>Blocker</w:t>
            </w:r>
          </w:p>
        </w:tc>
        <w:tc>
          <w:tcPr>
            <w:tcW w:type="dxa" w:w="2880"/>
            <w:vAlign w:val="top"/>
          </w:tcPr>
          <w:p>
            <w:r/>
            <w:r>
              <w:rPr>
                <w:b w:val="0"/>
                <w:sz w:val="14"/>
              </w:rPr>
              <w:t>Follow-up policy is hard-coded.</w:t>
            </w:r>
          </w:p>
        </w:tc>
        <w:tc>
          <w:tcPr>
            <w:tcW w:type="dxa" w:w="4320"/>
            <w:vAlign w:val="top"/>
          </w:tcPr>
          <w:p>
            <w:r/>
            <w:r>
              <w:rPr>
                <w:b w:val="0"/>
                <w:sz w:val="14"/>
              </w:rPr>
              <w:t>Move thresholds, deadlines, recipient stages, escalation timing, and stop conditions into case policy.</w:t>
            </w:r>
          </w:p>
        </w:tc>
      </w:tr>
      <w:tr>
        <w:tc>
          <w:tcPr>
            <w:tcW w:type="dxa" w:w="504"/>
            <w:vAlign w:val="top"/>
          </w:tcPr>
          <w:p>
            <w:r/>
            <w:r>
              <w:rPr>
                <w:b w:val="0"/>
                <w:sz w:val="14"/>
              </w:rPr>
              <w:t>71</w:t>
            </w:r>
          </w:p>
        </w:tc>
        <w:tc>
          <w:tcPr>
            <w:tcW w:type="dxa" w:w="1944"/>
            <w:vAlign w:val="top"/>
          </w:tcPr>
          <w:p>
            <w:r/>
            <w:r>
              <w:rPr>
                <w:b w:val="0"/>
                <w:sz w:val="14"/>
              </w:rPr>
              <w:t>Follow-ups and escalation</w:t>
            </w:r>
          </w:p>
        </w:tc>
        <w:tc>
          <w:tcPr>
            <w:tcW w:type="dxa" w:w="1008"/>
            <w:vAlign w:val="top"/>
          </w:tcPr>
          <w:p>
            <w:r/>
            <w:r>
              <w:rPr>
                <w:b w:val="0"/>
                <w:sz w:val="14"/>
              </w:rPr>
              <w:t>High</w:t>
            </w:r>
          </w:p>
        </w:tc>
        <w:tc>
          <w:tcPr>
            <w:tcW w:type="dxa" w:w="2880"/>
            <w:vAlign w:val="top"/>
          </w:tcPr>
          <w:p>
            <w:r/>
            <w:r>
              <w:rPr>
                <w:b w:val="0"/>
                <w:sz w:val="14"/>
              </w:rPr>
              <w:t>Five business days is approximated as seven calendar days.</w:t>
            </w:r>
          </w:p>
        </w:tc>
        <w:tc>
          <w:tcPr>
            <w:tcW w:type="dxa" w:w="4320"/>
            <w:vAlign w:val="top"/>
          </w:tcPr>
          <w:p>
            <w:r/>
            <w:r>
              <w:rPr>
                <w:b w:val="0"/>
                <w:sz w:val="14"/>
              </w:rPr>
              <w:t>Use a business-calendar library with holidays, region, client calendar, and after-hours behavior.</w:t>
            </w:r>
          </w:p>
        </w:tc>
      </w:tr>
      <w:tr>
        <w:tc>
          <w:tcPr>
            <w:tcW w:type="dxa" w:w="504"/>
            <w:vAlign w:val="top"/>
          </w:tcPr>
          <w:p>
            <w:r/>
            <w:r>
              <w:rPr>
                <w:b w:val="0"/>
                <w:sz w:val="14"/>
              </w:rPr>
              <w:t>72</w:t>
            </w:r>
          </w:p>
        </w:tc>
        <w:tc>
          <w:tcPr>
            <w:tcW w:type="dxa" w:w="1944"/>
            <w:vAlign w:val="top"/>
          </w:tcPr>
          <w:p>
            <w:r/>
            <w:r>
              <w:rPr>
                <w:b w:val="0"/>
                <w:sz w:val="14"/>
              </w:rPr>
              <w:t>Follow-ups and escalation</w:t>
            </w:r>
          </w:p>
        </w:tc>
        <w:tc>
          <w:tcPr>
            <w:tcW w:type="dxa" w:w="1008"/>
            <w:vAlign w:val="top"/>
          </w:tcPr>
          <w:p>
            <w:r/>
            <w:r>
              <w:rPr>
                <w:b w:val="0"/>
                <w:sz w:val="14"/>
              </w:rPr>
              <w:t>High</w:t>
            </w:r>
          </w:p>
        </w:tc>
        <w:tc>
          <w:tcPr>
            <w:tcW w:type="dxa" w:w="2880"/>
            <w:vAlign w:val="top"/>
          </w:tcPr>
          <w:p>
            <w:r/>
            <w:r>
              <w:rPr>
                <w:b w:val="0"/>
                <w:sz w:val="14"/>
              </w:rPr>
              <w:t>Escalation recipient logic is not real.</w:t>
            </w:r>
          </w:p>
        </w:tc>
        <w:tc>
          <w:tcPr>
            <w:tcW w:type="dxa" w:w="4320"/>
            <w:vAlign w:val="top"/>
          </w:tcPr>
          <w:p>
            <w:r/>
            <w:r>
              <w:rPr>
                <w:b w:val="0"/>
                <w:sz w:val="14"/>
              </w:rPr>
              <w:t>Model contractor contacts, client contacts, senior Solucore contacts, site-specific contacts, and notification preferences.</w:t>
            </w:r>
          </w:p>
        </w:tc>
      </w:tr>
      <w:tr>
        <w:tc>
          <w:tcPr>
            <w:tcW w:type="dxa" w:w="504"/>
            <w:vAlign w:val="top"/>
          </w:tcPr>
          <w:p>
            <w:r/>
            <w:r>
              <w:rPr>
                <w:b w:val="0"/>
                <w:sz w:val="14"/>
              </w:rPr>
              <w:t>73</w:t>
            </w:r>
          </w:p>
        </w:tc>
        <w:tc>
          <w:tcPr>
            <w:tcW w:type="dxa" w:w="1944"/>
            <w:vAlign w:val="top"/>
          </w:tcPr>
          <w:p>
            <w:r/>
            <w:r>
              <w:rPr>
                <w:b w:val="0"/>
                <w:sz w:val="14"/>
              </w:rPr>
              <w:t>Follow-ups and escalation</w:t>
            </w:r>
          </w:p>
        </w:tc>
        <w:tc>
          <w:tcPr>
            <w:tcW w:type="dxa" w:w="1008"/>
            <w:vAlign w:val="top"/>
          </w:tcPr>
          <w:p>
            <w:r/>
            <w:r>
              <w:rPr>
                <w:b w:val="0"/>
                <w:sz w:val="14"/>
              </w:rPr>
              <w:t>High</w:t>
            </w:r>
          </w:p>
        </w:tc>
        <w:tc>
          <w:tcPr>
            <w:tcW w:type="dxa" w:w="2880"/>
            <w:vAlign w:val="top"/>
          </w:tcPr>
          <w:p>
            <w:r/>
            <w:r>
              <w:rPr>
                <w:b w:val="0"/>
                <w:sz w:val="14"/>
              </w:rPr>
              <w:t>Follow-up actions do not know response obligations.</w:t>
            </w:r>
          </w:p>
        </w:tc>
        <w:tc>
          <w:tcPr>
            <w:tcW w:type="dxa" w:w="4320"/>
            <w:vAlign w:val="top"/>
          </w:tcPr>
          <w:p>
            <w:r/>
            <w:r>
              <w:rPr>
                <w:b w:val="0"/>
                <w:sz w:val="14"/>
              </w:rPr>
              <w:t>Track what response is required and what counts as satisfying it by case type.</w:t>
            </w:r>
          </w:p>
        </w:tc>
      </w:tr>
      <w:tr>
        <w:tc>
          <w:tcPr>
            <w:tcW w:type="dxa" w:w="504"/>
            <w:vAlign w:val="top"/>
          </w:tcPr>
          <w:p>
            <w:r/>
            <w:r>
              <w:rPr>
                <w:b w:val="0"/>
                <w:sz w:val="14"/>
              </w:rPr>
              <w:t>74</w:t>
            </w:r>
          </w:p>
        </w:tc>
        <w:tc>
          <w:tcPr>
            <w:tcW w:type="dxa" w:w="1944"/>
            <w:vAlign w:val="top"/>
          </w:tcPr>
          <w:p>
            <w:r/>
            <w:r>
              <w:rPr>
                <w:b w:val="0"/>
                <w:sz w:val="14"/>
              </w:rPr>
              <w:t>Follow-ups and escalation</w:t>
            </w:r>
          </w:p>
        </w:tc>
        <w:tc>
          <w:tcPr>
            <w:tcW w:type="dxa" w:w="1008"/>
            <w:vAlign w:val="top"/>
          </w:tcPr>
          <w:p>
            <w:r/>
            <w:r>
              <w:rPr>
                <w:b w:val="0"/>
                <w:sz w:val="14"/>
              </w:rPr>
              <w:t>Medium</w:t>
            </w:r>
          </w:p>
        </w:tc>
        <w:tc>
          <w:tcPr>
            <w:tcW w:type="dxa" w:w="2880"/>
            <w:vAlign w:val="top"/>
          </w:tcPr>
          <w:p>
            <w:r/>
            <w:r>
              <w:rPr>
                <w:b w:val="0"/>
                <w:sz w:val="14"/>
              </w:rPr>
              <w:t>Follow-up text is generic.</w:t>
            </w:r>
          </w:p>
        </w:tc>
        <w:tc>
          <w:tcPr>
            <w:tcW w:type="dxa" w:w="4320"/>
            <w:vAlign w:val="top"/>
          </w:tcPr>
          <w:p>
            <w:r/>
            <w:r>
              <w:rPr>
                <w:b w:val="0"/>
                <w:sz w:val="14"/>
              </w:rPr>
              <w:t>Draft by case type, stage, past replies, known blockers, and client visibility rules.</w:t>
            </w:r>
          </w:p>
        </w:tc>
      </w:tr>
      <w:tr>
        <w:tc>
          <w:tcPr>
            <w:tcW w:type="dxa" w:w="504"/>
            <w:vAlign w:val="top"/>
          </w:tcPr>
          <w:p>
            <w:r/>
            <w:r>
              <w:rPr>
                <w:b w:val="0"/>
                <w:sz w:val="14"/>
              </w:rPr>
              <w:t>75</w:t>
            </w:r>
          </w:p>
        </w:tc>
        <w:tc>
          <w:tcPr>
            <w:tcW w:type="dxa" w:w="1944"/>
            <w:vAlign w:val="top"/>
          </w:tcPr>
          <w:p>
            <w:r/>
            <w:r>
              <w:rPr>
                <w:b w:val="0"/>
                <w:sz w:val="14"/>
              </w:rPr>
              <w:t>Follow-ups and escalation</w:t>
            </w:r>
          </w:p>
        </w:tc>
        <w:tc>
          <w:tcPr>
            <w:tcW w:type="dxa" w:w="1008"/>
            <w:vAlign w:val="top"/>
          </w:tcPr>
          <w:p>
            <w:r/>
            <w:r>
              <w:rPr>
                <w:b w:val="0"/>
                <w:sz w:val="14"/>
              </w:rPr>
              <w:t>Medium</w:t>
            </w:r>
          </w:p>
        </w:tc>
        <w:tc>
          <w:tcPr>
            <w:tcW w:type="dxa" w:w="2880"/>
            <w:vAlign w:val="top"/>
          </w:tcPr>
          <w:p>
            <w:r/>
            <w:r>
              <w:rPr>
                <w:b w:val="0"/>
                <w:sz w:val="14"/>
              </w:rPr>
              <w:t>No pause/snooze/state controls.</w:t>
            </w:r>
          </w:p>
        </w:tc>
        <w:tc>
          <w:tcPr>
            <w:tcW w:type="dxa" w:w="4320"/>
            <w:vAlign w:val="top"/>
          </w:tcPr>
          <w:p>
            <w:r/>
            <w:r>
              <w:rPr>
                <w:b w:val="0"/>
                <w:sz w:val="14"/>
              </w:rPr>
              <w:t>Add pause follow-ups, waiting on client, access issue, scheduled work, contractor acknowledged, and extension granted states.</w:t>
            </w:r>
          </w:p>
        </w:tc>
      </w:tr>
      <w:tr>
        <w:tc>
          <w:tcPr>
            <w:tcW w:type="dxa" w:w="504"/>
            <w:vAlign w:val="top"/>
          </w:tcPr>
          <w:p>
            <w:r/>
            <w:r>
              <w:rPr>
                <w:b w:val="0"/>
                <w:sz w:val="14"/>
              </w:rPr>
              <w:t>76</w:t>
            </w:r>
          </w:p>
        </w:tc>
        <w:tc>
          <w:tcPr>
            <w:tcW w:type="dxa" w:w="1944"/>
            <w:vAlign w:val="top"/>
          </w:tcPr>
          <w:p>
            <w:r/>
            <w:r>
              <w:rPr>
                <w:b w:val="0"/>
                <w:sz w:val="14"/>
              </w:rPr>
              <w:t>Reply handling and closure</w:t>
            </w:r>
          </w:p>
        </w:tc>
        <w:tc>
          <w:tcPr>
            <w:tcW w:type="dxa" w:w="1008"/>
            <w:vAlign w:val="top"/>
          </w:tcPr>
          <w:p>
            <w:r/>
            <w:r>
              <w:rPr>
                <w:b w:val="0"/>
                <w:sz w:val="14"/>
              </w:rPr>
              <w:t>High</w:t>
            </w:r>
          </w:p>
        </w:tc>
        <w:tc>
          <w:tcPr>
            <w:tcW w:type="dxa" w:w="2880"/>
            <w:vAlign w:val="top"/>
          </w:tcPr>
          <w:p>
            <w:r/>
            <w:r>
              <w:rPr>
                <w:b w:val="0"/>
                <w:sz w:val="14"/>
              </w:rPr>
              <w:t>Reply input is manual-paste oriented.</w:t>
            </w:r>
          </w:p>
        </w:tc>
        <w:tc>
          <w:tcPr>
            <w:tcW w:type="dxa" w:w="4320"/>
            <w:vAlign w:val="top"/>
          </w:tcPr>
          <w:p>
            <w:r/>
            <w:r>
              <w:rPr>
                <w:b w:val="0"/>
                <w:sz w:val="14"/>
              </w:rPr>
              <w:t>Thread incoming replies automatically to cases using headers, references, case ID tokens, and fuzzy subject matching.</w:t>
            </w:r>
          </w:p>
        </w:tc>
      </w:tr>
      <w:tr>
        <w:tc>
          <w:tcPr>
            <w:tcW w:type="dxa" w:w="504"/>
            <w:vAlign w:val="top"/>
          </w:tcPr>
          <w:p>
            <w:r/>
            <w:r>
              <w:rPr>
                <w:b w:val="0"/>
                <w:sz w:val="14"/>
              </w:rPr>
              <w:t>77</w:t>
            </w:r>
          </w:p>
        </w:tc>
        <w:tc>
          <w:tcPr>
            <w:tcW w:type="dxa" w:w="1944"/>
            <w:vAlign w:val="top"/>
          </w:tcPr>
          <w:p>
            <w:r/>
            <w:r>
              <w:rPr>
                <w:b w:val="0"/>
                <w:sz w:val="14"/>
              </w:rPr>
              <w:t>Reply handling and closure</w:t>
            </w:r>
          </w:p>
        </w:tc>
        <w:tc>
          <w:tcPr>
            <w:tcW w:type="dxa" w:w="1008"/>
            <w:vAlign w:val="top"/>
          </w:tcPr>
          <w:p>
            <w:r/>
            <w:r>
              <w:rPr>
                <w:b w:val="0"/>
                <w:sz w:val="14"/>
              </w:rPr>
              <w:t>High</w:t>
            </w:r>
          </w:p>
        </w:tc>
        <w:tc>
          <w:tcPr>
            <w:tcW w:type="dxa" w:w="2880"/>
            <w:vAlign w:val="top"/>
          </w:tcPr>
          <w:p>
            <w:r/>
            <w:r>
              <w:rPr>
                <w:b w:val="0"/>
                <w:sz w:val="14"/>
              </w:rPr>
              <w:t>Reply analysis is shallow.</w:t>
            </w:r>
          </w:p>
        </w:tc>
        <w:tc>
          <w:tcPr>
            <w:tcW w:type="dxa" w:w="4320"/>
            <w:vAlign w:val="top"/>
          </w:tcPr>
          <w:p>
            <w:r/>
            <w:r>
              <w:rPr>
                <w:b w:val="0"/>
                <w:sz w:val="14"/>
              </w:rPr>
              <w:t>Distinguish acknowledgement, scheduled, completed, rejected, access blocked, needs client action, extension requested, evidence attached, and unrelated reply.</w:t>
            </w:r>
          </w:p>
        </w:tc>
      </w:tr>
      <w:tr>
        <w:tc>
          <w:tcPr>
            <w:tcW w:type="dxa" w:w="504"/>
            <w:vAlign w:val="top"/>
          </w:tcPr>
          <w:p>
            <w:r/>
            <w:r>
              <w:rPr>
                <w:b w:val="0"/>
                <w:sz w:val="14"/>
              </w:rPr>
              <w:t>78</w:t>
            </w:r>
          </w:p>
        </w:tc>
        <w:tc>
          <w:tcPr>
            <w:tcW w:type="dxa" w:w="1944"/>
            <w:vAlign w:val="top"/>
          </w:tcPr>
          <w:p>
            <w:r/>
            <w:r>
              <w:rPr>
                <w:b w:val="0"/>
                <w:sz w:val="14"/>
              </w:rPr>
              <w:t>Reply handling and closure</w:t>
            </w:r>
          </w:p>
        </w:tc>
        <w:tc>
          <w:tcPr>
            <w:tcW w:type="dxa" w:w="1008"/>
            <w:vAlign w:val="top"/>
          </w:tcPr>
          <w:p>
            <w:r/>
            <w:r>
              <w:rPr>
                <w:b w:val="0"/>
                <w:sz w:val="14"/>
              </w:rPr>
              <w:t>High</w:t>
            </w:r>
          </w:p>
        </w:tc>
        <w:tc>
          <w:tcPr>
            <w:tcW w:type="dxa" w:w="2880"/>
            <w:vAlign w:val="top"/>
          </w:tcPr>
          <w:p>
            <w:r/>
            <w:r>
              <w:rPr>
                <w:b w:val="0"/>
                <w:sz w:val="14"/>
              </w:rPr>
              <w:t>Closure evidence is not modeled.</w:t>
            </w:r>
          </w:p>
        </w:tc>
        <w:tc>
          <w:tcPr>
            <w:tcW w:type="dxa" w:w="4320"/>
            <w:vAlign w:val="top"/>
          </w:tcPr>
          <w:p>
            <w:r/>
            <w:r>
              <w:rPr>
                <w:b w:val="0"/>
                <w:sz w:val="14"/>
              </w:rPr>
              <w:t>Require case-type-specific evidence before presenting a closure recommendation.</w:t>
            </w:r>
          </w:p>
        </w:tc>
      </w:tr>
      <w:tr>
        <w:tc>
          <w:tcPr>
            <w:tcW w:type="dxa" w:w="504"/>
            <w:vAlign w:val="top"/>
          </w:tcPr>
          <w:p>
            <w:r/>
            <w:r>
              <w:rPr>
                <w:b w:val="0"/>
                <w:sz w:val="14"/>
              </w:rPr>
              <w:t>79</w:t>
            </w:r>
          </w:p>
        </w:tc>
        <w:tc>
          <w:tcPr>
            <w:tcW w:type="dxa" w:w="1944"/>
            <w:vAlign w:val="top"/>
          </w:tcPr>
          <w:p>
            <w:r/>
            <w:r>
              <w:rPr>
                <w:b w:val="0"/>
                <w:sz w:val="14"/>
              </w:rPr>
              <w:t>Reply handling and closure</w:t>
            </w:r>
          </w:p>
        </w:tc>
        <w:tc>
          <w:tcPr>
            <w:tcW w:type="dxa" w:w="1008"/>
            <w:vAlign w:val="top"/>
          </w:tcPr>
          <w:p>
            <w:r/>
            <w:r>
              <w:rPr>
                <w:b w:val="0"/>
                <w:sz w:val="14"/>
              </w:rPr>
              <w:t>Medium</w:t>
            </w:r>
          </w:p>
        </w:tc>
        <w:tc>
          <w:tcPr>
            <w:tcW w:type="dxa" w:w="2880"/>
            <w:vAlign w:val="top"/>
          </w:tcPr>
          <w:p>
            <w:r/>
            <w:r>
              <w:rPr>
                <w:b w:val="0"/>
                <w:sz w:val="14"/>
              </w:rPr>
              <w:t>No contradiction detection.</w:t>
            </w:r>
          </w:p>
        </w:tc>
        <w:tc>
          <w:tcPr>
            <w:tcW w:type="dxa" w:w="4320"/>
            <w:vAlign w:val="top"/>
          </w:tcPr>
          <w:p>
            <w:r/>
            <w:r>
              <w:rPr>
                <w:b w:val="0"/>
                <w:sz w:val="14"/>
              </w:rPr>
              <w:t>Detect when a reply says completed but the KPI continues firing or another email contradicts the statement.</w:t>
            </w:r>
          </w:p>
        </w:tc>
      </w:tr>
      <w:tr>
        <w:tc>
          <w:tcPr>
            <w:tcW w:type="dxa" w:w="504"/>
            <w:vAlign w:val="top"/>
          </w:tcPr>
          <w:p>
            <w:r/>
            <w:r>
              <w:rPr>
                <w:b w:val="0"/>
                <w:sz w:val="14"/>
              </w:rPr>
              <w:t>80</w:t>
            </w:r>
          </w:p>
        </w:tc>
        <w:tc>
          <w:tcPr>
            <w:tcW w:type="dxa" w:w="1944"/>
            <w:vAlign w:val="top"/>
          </w:tcPr>
          <w:p>
            <w:r/>
            <w:r>
              <w:rPr>
                <w:b w:val="0"/>
                <w:sz w:val="14"/>
              </w:rPr>
              <w:t>Reply handling and closure</w:t>
            </w:r>
          </w:p>
        </w:tc>
        <w:tc>
          <w:tcPr>
            <w:tcW w:type="dxa" w:w="1008"/>
            <w:vAlign w:val="top"/>
          </w:tcPr>
          <w:p>
            <w:r/>
            <w:r>
              <w:rPr>
                <w:b w:val="0"/>
                <w:sz w:val="14"/>
              </w:rPr>
              <w:t>Medium</w:t>
            </w:r>
          </w:p>
        </w:tc>
        <w:tc>
          <w:tcPr>
            <w:tcW w:type="dxa" w:w="2880"/>
            <w:vAlign w:val="top"/>
          </w:tcPr>
          <w:p>
            <w:r/>
            <w:r>
              <w:rPr>
                <w:b w:val="0"/>
                <w:sz w:val="14"/>
              </w:rPr>
              <w:t>No structured reply extraction.</w:t>
            </w:r>
          </w:p>
        </w:tc>
        <w:tc>
          <w:tcPr>
            <w:tcW w:type="dxa" w:w="4320"/>
            <w:vAlign w:val="top"/>
          </w:tcPr>
          <w:p>
            <w:r/>
            <w:r>
              <w:rPr>
                <w:b w:val="0"/>
                <w:sz w:val="14"/>
              </w:rPr>
              <w:t>Extract promised dates, responsible party, reason for delay, attachments mentioned, and next action.</w:t>
            </w:r>
          </w:p>
        </w:tc>
      </w:tr>
      <w:tr>
        <w:tc>
          <w:tcPr>
            <w:tcW w:type="dxa" w:w="504"/>
            <w:vAlign w:val="top"/>
          </w:tcPr>
          <w:p>
            <w:r/>
            <w:r>
              <w:rPr>
                <w:b w:val="0"/>
                <w:sz w:val="14"/>
              </w:rPr>
              <w:t>81</w:t>
            </w:r>
          </w:p>
        </w:tc>
        <w:tc>
          <w:tcPr>
            <w:tcW w:type="dxa" w:w="1944"/>
            <w:vAlign w:val="top"/>
          </w:tcPr>
          <w:p>
            <w:r/>
            <w:r>
              <w:rPr>
                <w:b w:val="0"/>
                <w:sz w:val="14"/>
              </w:rPr>
              <w:t>Reply handling and closure</w:t>
            </w:r>
          </w:p>
        </w:tc>
        <w:tc>
          <w:tcPr>
            <w:tcW w:type="dxa" w:w="1008"/>
            <w:vAlign w:val="top"/>
          </w:tcPr>
          <w:p>
            <w:r/>
            <w:r>
              <w:rPr>
                <w:b w:val="0"/>
                <w:sz w:val="14"/>
              </w:rPr>
              <w:t>Low</w:t>
            </w:r>
          </w:p>
        </w:tc>
        <w:tc>
          <w:tcPr>
            <w:tcW w:type="dxa" w:w="2880"/>
            <w:vAlign w:val="top"/>
          </w:tcPr>
          <w:p>
            <w:r/>
            <w:r>
              <w:rPr>
                <w:b w:val="0"/>
                <w:sz w:val="14"/>
              </w:rPr>
              <w:t>No reply SLA analytics.</w:t>
            </w:r>
          </w:p>
        </w:tc>
        <w:tc>
          <w:tcPr>
            <w:tcW w:type="dxa" w:w="4320"/>
            <w:vAlign w:val="top"/>
          </w:tcPr>
          <w:p>
            <w:r/>
            <w:r>
              <w:rPr>
                <w:b w:val="0"/>
                <w:sz w:val="14"/>
              </w:rPr>
              <w:t>Track response time, resolution time, reopen rate, and contractor/client performance.</w:t>
            </w:r>
          </w:p>
        </w:tc>
      </w:tr>
      <w:tr>
        <w:tc>
          <w:tcPr>
            <w:tcW w:type="dxa" w:w="504"/>
            <w:vAlign w:val="top"/>
          </w:tcPr>
          <w:p>
            <w:r/>
            <w:r>
              <w:rPr>
                <w:b w:val="0"/>
                <w:sz w:val="14"/>
              </w:rPr>
              <w:t>82</w:t>
            </w:r>
          </w:p>
        </w:tc>
        <w:tc>
          <w:tcPr>
            <w:tcW w:type="dxa" w:w="1944"/>
            <w:vAlign w:val="top"/>
          </w:tcPr>
          <w:p>
            <w:r/>
            <w:r>
              <w:rPr>
                <w:b w:val="0"/>
                <w:sz w:val="14"/>
              </w:rPr>
              <w:t>Outbound messaging and contacts</w:t>
            </w:r>
          </w:p>
        </w:tc>
        <w:tc>
          <w:tcPr>
            <w:tcW w:type="dxa" w:w="1008"/>
            <w:vAlign w:val="top"/>
          </w:tcPr>
          <w:p>
            <w:r/>
            <w:r>
              <w:rPr>
                <w:b w:val="0"/>
                <w:sz w:val="14"/>
              </w:rPr>
              <w:t>Blocker</w:t>
            </w:r>
          </w:p>
        </w:tc>
        <w:tc>
          <w:tcPr>
            <w:tcW w:type="dxa" w:w="2880"/>
            <w:vAlign w:val="top"/>
          </w:tcPr>
          <w:p>
            <w:r/>
            <w:r>
              <w:rPr>
                <w:b w:val="0"/>
                <w:sz w:val="14"/>
              </w:rPr>
              <w:t>Production recipient resolution is missing.</w:t>
            </w:r>
          </w:p>
        </w:tc>
        <w:tc>
          <w:tcPr>
            <w:tcW w:type="dxa" w:w="4320"/>
            <w:vAlign w:val="top"/>
          </w:tcPr>
          <w:p>
            <w:r/>
            <w:r>
              <w:rPr>
                <w:b w:val="0"/>
                <w:sz w:val="14"/>
              </w:rPr>
              <w:t>Build a contact registry with building, contractor, client, role, email, CC rules, escalation level, active dates, and override history.</w:t>
            </w:r>
          </w:p>
        </w:tc>
      </w:tr>
      <w:tr>
        <w:tc>
          <w:tcPr>
            <w:tcW w:type="dxa" w:w="504"/>
            <w:vAlign w:val="top"/>
          </w:tcPr>
          <w:p>
            <w:r/>
            <w:r>
              <w:rPr>
                <w:b w:val="0"/>
                <w:sz w:val="14"/>
              </w:rPr>
              <w:t>83</w:t>
            </w:r>
          </w:p>
        </w:tc>
        <w:tc>
          <w:tcPr>
            <w:tcW w:type="dxa" w:w="1944"/>
            <w:vAlign w:val="top"/>
          </w:tcPr>
          <w:p>
            <w:r/>
            <w:r>
              <w:rPr>
                <w:b w:val="0"/>
                <w:sz w:val="14"/>
              </w:rPr>
              <w:t>Outbound messaging and contacts</w:t>
            </w:r>
          </w:p>
        </w:tc>
        <w:tc>
          <w:tcPr>
            <w:tcW w:type="dxa" w:w="1008"/>
            <w:vAlign w:val="top"/>
          </w:tcPr>
          <w:p>
            <w:r/>
            <w:r>
              <w:rPr>
                <w:b w:val="0"/>
                <w:sz w:val="14"/>
              </w:rPr>
              <w:t>High</w:t>
            </w:r>
          </w:p>
        </w:tc>
        <w:tc>
          <w:tcPr>
            <w:tcW w:type="dxa" w:w="2880"/>
            <w:vAlign w:val="top"/>
          </w:tcPr>
          <w:p>
            <w:r/>
            <w:r>
              <w:rPr>
                <w:b w:val="0"/>
                <w:sz w:val="14"/>
              </w:rPr>
              <w:t>Outbound templates are too generic.</w:t>
            </w:r>
          </w:p>
        </w:tc>
        <w:tc>
          <w:tcPr>
            <w:tcW w:type="dxa" w:w="4320"/>
            <w:vAlign w:val="top"/>
          </w:tcPr>
          <w:p>
            <w:r/>
            <w:r>
              <w:rPr>
                <w:b w:val="0"/>
                <w:sz w:val="14"/>
              </w:rPr>
              <w:t>Create case-type and escalation-stage templates with required facts, approved language, and tone controls.</w:t>
            </w:r>
          </w:p>
        </w:tc>
      </w:tr>
      <w:tr>
        <w:tc>
          <w:tcPr>
            <w:tcW w:type="dxa" w:w="504"/>
            <w:vAlign w:val="top"/>
          </w:tcPr>
          <w:p>
            <w:r/>
            <w:r>
              <w:rPr>
                <w:b w:val="0"/>
                <w:sz w:val="14"/>
              </w:rPr>
              <w:t>84</w:t>
            </w:r>
          </w:p>
        </w:tc>
        <w:tc>
          <w:tcPr>
            <w:tcW w:type="dxa" w:w="1944"/>
            <w:vAlign w:val="top"/>
          </w:tcPr>
          <w:p>
            <w:r/>
            <w:r>
              <w:rPr>
                <w:b w:val="0"/>
                <w:sz w:val="14"/>
              </w:rPr>
              <w:t>Outbound messaging and contacts</w:t>
            </w:r>
          </w:p>
        </w:tc>
        <w:tc>
          <w:tcPr>
            <w:tcW w:type="dxa" w:w="1008"/>
            <w:vAlign w:val="top"/>
          </w:tcPr>
          <w:p>
            <w:r/>
            <w:r>
              <w:rPr>
                <w:b w:val="0"/>
                <w:sz w:val="14"/>
              </w:rPr>
              <w:t>High</w:t>
            </w:r>
          </w:p>
        </w:tc>
        <w:tc>
          <w:tcPr>
            <w:tcW w:type="dxa" w:w="2880"/>
            <w:vAlign w:val="top"/>
          </w:tcPr>
          <w:p>
            <w:r/>
            <w:r>
              <w:rPr>
                <w:b w:val="0"/>
                <w:sz w:val="14"/>
              </w:rPr>
              <w:t>Auto-send behavior must be policy-gated.</w:t>
            </w:r>
          </w:p>
        </w:tc>
        <w:tc>
          <w:tcPr>
            <w:tcW w:type="dxa" w:w="4320"/>
            <w:vAlign w:val="top"/>
          </w:tcPr>
          <w:p>
            <w:r/>
            <w:r>
              <w:rPr>
                <w:b w:val="0"/>
                <w:sz w:val="14"/>
              </w:rPr>
              <w:t>Require approval rules, allowed recipients, safety scans, and environment checks before anything can send automatically.</w:t>
            </w:r>
          </w:p>
        </w:tc>
      </w:tr>
      <w:tr>
        <w:tc>
          <w:tcPr>
            <w:tcW w:type="dxa" w:w="504"/>
            <w:vAlign w:val="top"/>
          </w:tcPr>
          <w:p>
            <w:r/>
            <w:r>
              <w:rPr>
                <w:b w:val="0"/>
                <w:sz w:val="14"/>
              </w:rPr>
              <w:t>85</w:t>
            </w:r>
          </w:p>
        </w:tc>
        <w:tc>
          <w:tcPr>
            <w:tcW w:type="dxa" w:w="1944"/>
            <w:vAlign w:val="top"/>
          </w:tcPr>
          <w:p>
            <w:r/>
            <w:r>
              <w:rPr>
                <w:b w:val="0"/>
                <w:sz w:val="14"/>
              </w:rPr>
              <w:t>Outbound messaging and contacts</w:t>
            </w:r>
          </w:p>
        </w:tc>
        <w:tc>
          <w:tcPr>
            <w:tcW w:type="dxa" w:w="1008"/>
            <w:vAlign w:val="top"/>
          </w:tcPr>
          <w:p>
            <w:r/>
            <w:r>
              <w:rPr>
                <w:b w:val="0"/>
                <w:sz w:val="14"/>
              </w:rPr>
              <w:t>High</w:t>
            </w:r>
          </w:p>
        </w:tc>
        <w:tc>
          <w:tcPr>
            <w:tcW w:type="dxa" w:w="2880"/>
            <w:vAlign w:val="top"/>
          </w:tcPr>
          <w:p>
            <w:r/>
            <w:r>
              <w:rPr>
                <w:b w:val="0"/>
                <w:sz w:val="14"/>
              </w:rPr>
              <w:t>No unsubscribe, suppression, or duplicate-send control beyond follow-up idempotency.</w:t>
            </w:r>
          </w:p>
        </w:tc>
        <w:tc>
          <w:tcPr>
            <w:tcW w:type="dxa" w:w="4320"/>
            <w:vAlign w:val="top"/>
          </w:tcPr>
          <w:p>
            <w:r/>
            <w:r>
              <w:rPr>
                <w:b w:val="0"/>
                <w:sz w:val="14"/>
              </w:rPr>
              <w:t>Prevent repeated near-identical messages and suppress sends when a case is paused, closed, merged, or awaiting human review.</w:t>
            </w:r>
          </w:p>
        </w:tc>
      </w:tr>
      <w:tr>
        <w:tc>
          <w:tcPr>
            <w:tcW w:type="dxa" w:w="504"/>
            <w:vAlign w:val="top"/>
          </w:tcPr>
          <w:p>
            <w:r/>
            <w:r>
              <w:rPr>
                <w:b w:val="0"/>
                <w:sz w:val="14"/>
              </w:rPr>
              <w:t>86</w:t>
            </w:r>
          </w:p>
        </w:tc>
        <w:tc>
          <w:tcPr>
            <w:tcW w:type="dxa" w:w="1944"/>
            <w:vAlign w:val="top"/>
          </w:tcPr>
          <w:p>
            <w:r/>
            <w:r>
              <w:rPr>
                <w:b w:val="0"/>
                <w:sz w:val="14"/>
              </w:rPr>
              <w:t>Outbound messaging and contacts</w:t>
            </w:r>
          </w:p>
        </w:tc>
        <w:tc>
          <w:tcPr>
            <w:tcW w:type="dxa" w:w="1008"/>
            <w:vAlign w:val="top"/>
          </w:tcPr>
          <w:p>
            <w:r/>
            <w:r>
              <w:rPr>
                <w:b w:val="0"/>
                <w:sz w:val="14"/>
              </w:rPr>
              <w:t>Medium</w:t>
            </w:r>
          </w:p>
        </w:tc>
        <w:tc>
          <w:tcPr>
            <w:tcW w:type="dxa" w:w="2880"/>
            <w:vAlign w:val="top"/>
          </w:tcPr>
          <w:p>
            <w:r/>
            <w:r>
              <w:rPr>
                <w:b w:val="0"/>
                <w:sz w:val="14"/>
              </w:rPr>
              <w:t>No client visibility model.</w:t>
            </w:r>
          </w:p>
        </w:tc>
        <w:tc>
          <w:tcPr>
            <w:tcW w:type="dxa" w:w="4320"/>
            <w:vAlign w:val="top"/>
          </w:tcPr>
          <w:p>
            <w:r/>
            <w:r>
              <w:rPr>
                <w:b w:val="0"/>
                <w:sz w:val="14"/>
              </w:rPr>
              <w:t>Ray's rule that aggregated KPI items loop in the client should be represented as policy, not tribal knowledge.</w:t>
            </w:r>
          </w:p>
        </w:tc>
      </w:tr>
      <w:tr>
        <w:tc>
          <w:tcPr>
            <w:tcW w:type="dxa" w:w="504"/>
            <w:vAlign w:val="top"/>
          </w:tcPr>
          <w:p>
            <w:r/>
            <w:r>
              <w:rPr>
                <w:b w:val="0"/>
                <w:sz w:val="14"/>
              </w:rPr>
              <w:t>87</w:t>
            </w:r>
          </w:p>
        </w:tc>
        <w:tc>
          <w:tcPr>
            <w:tcW w:type="dxa" w:w="1944"/>
            <w:vAlign w:val="top"/>
          </w:tcPr>
          <w:p>
            <w:r/>
            <w:r>
              <w:rPr>
                <w:b w:val="0"/>
                <w:sz w:val="14"/>
              </w:rPr>
              <w:t>Outbound messaging and contacts</w:t>
            </w:r>
          </w:p>
        </w:tc>
        <w:tc>
          <w:tcPr>
            <w:tcW w:type="dxa" w:w="1008"/>
            <w:vAlign w:val="top"/>
          </w:tcPr>
          <w:p>
            <w:r/>
            <w:r>
              <w:rPr>
                <w:b w:val="0"/>
                <w:sz w:val="14"/>
              </w:rPr>
              <w:t>Medium</w:t>
            </w:r>
          </w:p>
        </w:tc>
        <w:tc>
          <w:tcPr>
            <w:tcW w:type="dxa" w:w="2880"/>
            <w:vAlign w:val="top"/>
          </w:tcPr>
          <w:p>
            <w:r/>
            <w:r>
              <w:rPr>
                <w:b w:val="0"/>
                <w:sz w:val="14"/>
              </w:rPr>
              <w:t>No email threading support for outbound.</w:t>
            </w:r>
          </w:p>
        </w:tc>
        <w:tc>
          <w:tcPr>
            <w:tcW w:type="dxa" w:w="4320"/>
            <w:vAlign w:val="top"/>
          </w:tcPr>
          <w:p>
            <w:r/>
            <w:r>
              <w:rPr>
                <w:b w:val="0"/>
                <w:sz w:val="14"/>
              </w:rPr>
              <w:t>Use In-Reply-To, References, and stable subject tokens to keep case communications together.</w:t>
            </w:r>
          </w:p>
        </w:tc>
      </w:tr>
      <w:tr>
        <w:tc>
          <w:tcPr>
            <w:tcW w:type="dxa" w:w="504"/>
            <w:vAlign w:val="top"/>
          </w:tcPr>
          <w:p>
            <w:r/>
            <w:r>
              <w:rPr>
                <w:b w:val="0"/>
                <w:sz w:val="14"/>
              </w:rPr>
              <w:t>88</w:t>
            </w:r>
          </w:p>
        </w:tc>
        <w:tc>
          <w:tcPr>
            <w:tcW w:type="dxa" w:w="1944"/>
            <w:vAlign w:val="top"/>
          </w:tcPr>
          <w:p>
            <w:r/>
            <w:r>
              <w:rPr>
                <w:b w:val="0"/>
                <w:sz w:val="14"/>
              </w:rPr>
              <w:t>Memory and pattern intelligence</w:t>
            </w:r>
          </w:p>
        </w:tc>
        <w:tc>
          <w:tcPr>
            <w:tcW w:type="dxa" w:w="1008"/>
            <w:vAlign w:val="top"/>
          </w:tcPr>
          <w:p>
            <w:r/>
            <w:r>
              <w:rPr>
                <w:b w:val="0"/>
                <w:sz w:val="14"/>
              </w:rPr>
              <w:t>High</w:t>
            </w:r>
          </w:p>
        </w:tc>
        <w:tc>
          <w:tcPr>
            <w:tcW w:type="dxa" w:w="2880"/>
            <w:vAlign w:val="top"/>
          </w:tcPr>
          <w:p>
            <w:r/>
            <w:r>
              <w:rPr>
                <w:b w:val="0"/>
                <w:sz w:val="14"/>
              </w:rPr>
              <w:t>Pattern flags need stronger explainability.</w:t>
            </w:r>
          </w:p>
        </w:tc>
        <w:tc>
          <w:tcPr>
            <w:tcW w:type="dxa" w:w="4320"/>
            <w:vAlign w:val="top"/>
          </w:tcPr>
          <w:p>
            <w:r/>
            <w:r>
              <w:rPr>
                <w:b w:val="0"/>
                <w:sz w:val="14"/>
              </w:rPr>
              <w:t>Every pattern should expose evidence rows, thresholds, time windows, confidence, and what changed since last detection.</w:t>
            </w:r>
          </w:p>
        </w:tc>
      </w:tr>
      <w:tr>
        <w:tc>
          <w:tcPr>
            <w:tcW w:type="dxa" w:w="504"/>
            <w:vAlign w:val="top"/>
          </w:tcPr>
          <w:p>
            <w:r/>
            <w:r>
              <w:rPr>
                <w:b w:val="0"/>
                <w:sz w:val="14"/>
              </w:rPr>
              <w:t>89</w:t>
            </w:r>
          </w:p>
        </w:tc>
        <w:tc>
          <w:tcPr>
            <w:tcW w:type="dxa" w:w="1944"/>
            <w:vAlign w:val="top"/>
          </w:tcPr>
          <w:p>
            <w:r/>
            <w:r>
              <w:rPr>
                <w:b w:val="0"/>
                <w:sz w:val="14"/>
              </w:rPr>
              <w:t>Memory and pattern intelligence</w:t>
            </w:r>
          </w:p>
        </w:tc>
        <w:tc>
          <w:tcPr>
            <w:tcW w:type="dxa" w:w="1008"/>
            <w:vAlign w:val="top"/>
          </w:tcPr>
          <w:p>
            <w:r/>
            <w:r>
              <w:rPr>
                <w:b w:val="0"/>
                <w:sz w:val="14"/>
              </w:rPr>
              <w:t>High</w:t>
            </w:r>
          </w:p>
        </w:tc>
        <w:tc>
          <w:tcPr>
            <w:tcW w:type="dxa" w:w="2880"/>
            <w:vAlign w:val="top"/>
          </w:tcPr>
          <w:p>
            <w:r/>
            <w:r>
              <w:rPr>
                <w:b w:val="0"/>
                <w:sz w:val="14"/>
              </w:rPr>
              <w:t>No false-positive management.</w:t>
            </w:r>
          </w:p>
        </w:tc>
        <w:tc>
          <w:tcPr>
            <w:tcW w:type="dxa" w:w="4320"/>
            <w:vAlign w:val="top"/>
          </w:tcPr>
          <w:p>
            <w:r/>
            <w:r>
              <w:rPr>
                <w:b w:val="0"/>
                <w:sz w:val="14"/>
              </w:rPr>
              <w:t>Allow users to dismiss, snooze, downgrade, or mark a pattern as not useful, then learn from that decision.</w:t>
            </w:r>
          </w:p>
        </w:tc>
      </w:tr>
      <w:tr>
        <w:tc>
          <w:tcPr>
            <w:tcW w:type="dxa" w:w="504"/>
            <w:vAlign w:val="top"/>
          </w:tcPr>
          <w:p>
            <w:r/>
            <w:r>
              <w:rPr>
                <w:b w:val="0"/>
                <w:sz w:val="14"/>
              </w:rPr>
              <w:t>90</w:t>
            </w:r>
          </w:p>
        </w:tc>
        <w:tc>
          <w:tcPr>
            <w:tcW w:type="dxa" w:w="1944"/>
            <w:vAlign w:val="top"/>
          </w:tcPr>
          <w:p>
            <w:r/>
            <w:r>
              <w:rPr>
                <w:b w:val="0"/>
                <w:sz w:val="14"/>
              </w:rPr>
              <w:t>Memory and pattern intelligence</w:t>
            </w:r>
          </w:p>
        </w:tc>
        <w:tc>
          <w:tcPr>
            <w:tcW w:type="dxa" w:w="1008"/>
            <w:vAlign w:val="top"/>
          </w:tcPr>
          <w:p>
            <w:r/>
            <w:r>
              <w:rPr>
                <w:b w:val="0"/>
                <w:sz w:val="14"/>
              </w:rPr>
              <w:t>High</w:t>
            </w:r>
          </w:p>
        </w:tc>
        <w:tc>
          <w:tcPr>
            <w:tcW w:type="dxa" w:w="2880"/>
            <w:vAlign w:val="top"/>
          </w:tcPr>
          <w:p>
            <w:r/>
            <w:r>
              <w:rPr>
                <w:b w:val="0"/>
                <w:sz w:val="14"/>
              </w:rPr>
              <w:t>Memory has no decay or recency policy.</w:t>
            </w:r>
          </w:p>
        </w:tc>
        <w:tc>
          <w:tcPr>
            <w:tcW w:type="dxa" w:w="4320"/>
            <w:vAlign w:val="top"/>
          </w:tcPr>
          <w:p>
            <w:r/>
            <w:r>
              <w:rPr>
                <w:b w:val="0"/>
                <w:sz w:val="14"/>
              </w:rPr>
              <w:t>Patterns should weaken over time unless reinforced. Old backlog imports should not dominate current intelligence.</w:t>
            </w:r>
          </w:p>
        </w:tc>
      </w:tr>
      <w:tr>
        <w:tc>
          <w:tcPr>
            <w:tcW w:type="dxa" w:w="504"/>
            <w:vAlign w:val="top"/>
          </w:tcPr>
          <w:p>
            <w:r/>
            <w:r>
              <w:rPr>
                <w:b w:val="0"/>
                <w:sz w:val="14"/>
              </w:rPr>
              <w:t>91</w:t>
            </w:r>
          </w:p>
        </w:tc>
        <w:tc>
          <w:tcPr>
            <w:tcW w:type="dxa" w:w="1944"/>
            <w:vAlign w:val="top"/>
          </w:tcPr>
          <w:p>
            <w:r/>
            <w:r>
              <w:rPr>
                <w:b w:val="0"/>
                <w:sz w:val="14"/>
              </w:rPr>
              <w:t>Memory and pattern intelligence</w:t>
            </w:r>
          </w:p>
        </w:tc>
        <w:tc>
          <w:tcPr>
            <w:tcW w:type="dxa" w:w="1008"/>
            <w:vAlign w:val="top"/>
          </w:tcPr>
          <w:p>
            <w:r/>
            <w:r>
              <w:rPr>
                <w:b w:val="0"/>
                <w:sz w:val="14"/>
              </w:rPr>
              <w:t>Medium</w:t>
            </w:r>
          </w:p>
        </w:tc>
        <w:tc>
          <w:tcPr>
            <w:tcW w:type="dxa" w:w="2880"/>
            <w:vAlign w:val="top"/>
          </w:tcPr>
          <w:p>
            <w:r/>
            <w:r>
              <w:rPr>
                <w:b w:val="0"/>
                <w:sz w:val="14"/>
              </w:rPr>
              <w:t>Entity resolution needs manual tools.</w:t>
            </w:r>
          </w:p>
        </w:tc>
        <w:tc>
          <w:tcPr>
            <w:tcW w:type="dxa" w:w="4320"/>
            <w:vAlign w:val="top"/>
          </w:tcPr>
          <w:p>
            <w:r/>
            <w:r>
              <w:rPr>
                <w:b w:val="0"/>
                <w:sz w:val="14"/>
              </w:rPr>
              <w:t>Add merge/split aliases for buildings, devices, contractors, mechanics, and clients.</w:t>
            </w:r>
          </w:p>
        </w:tc>
      </w:tr>
      <w:tr>
        <w:tc>
          <w:tcPr>
            <w:tcW w:type="dxa" w:w="504"/>
            <w:vAlign w:val="top"/>
          </w:tcPr>
          <w:p>
            <w:r/>
            <w:r>
              <w:rPr>
                <w:b w:val="0"/>
                <w:sz w:val="14"/>
              </w:rPr>
              <w:t>92</w:t>
            </w:r>
          </w:p>
        </w:tc>
        <w:tc>
          <w:tcPr>
            <w:tcW w:type="dxa" w:w="1944"/>
            <w:vAlign w:val="top"/>
          </w:tcPr>
          <w:p>
            <w:r/>
            <w:r>
              <w:rPr>
                <w:b w:val="0"/>
                <w:sz w:val="14"/>
              </w:rPr>
              <w:t>Memory and pattern intelligence</w:t>
            </w:r>
          </w:p>
        </w:tc>
        <w:tc>
          <w:tcPr>
            <w:tcW w:type="dxa" w:w="1008"/>
            <w:vAlign w:val="top"/>
          </w:tcPr>
          <w:p>
            <w:r/>
            <w:r>
              <w:rPr>
                <w:b w:val="0"/>
                <w:sz w:val="14"/>
              </w:rPr>
              <w:t>Medium</w:t>
            </w:r>
          </w:p>
        </w:tc>
        <w:tc>
          <w:tcPr>
            <w:tcW w:type="dxa" w:w="2880"/>
            <w:vAlign w:val="top"/>
          </w:tcPr>
          <w:p>
            <w:r/>
            <w:r>
              <w:rPr>
                <w:b w:val="0"/>
                <w:sz w:val="14"/>
              </w:rPr>
              <w:t>Mechanic intelligence is sensitive and narrow.</w:t>
            </w:r>
          </w:p>
        </w:tc>
        <w:tc>
          <w:tcPr>
            <w:tcW w:type="dxa" w:w="4320"/>
            <w:vAlign w:val="top"/>
          </w:tcPr>
          <w:p>
            <w:r/>
            <w:r>
              <w:rPr>
                <w:b w:val="0"/>
                <w:sz w:val="14"/>
              </w:rPr>
              <w:t>Keep mechanic/technician insights evidence-based, cautious, and internal unless policy explicitly permits broader use.</w:t>
            </w:r>
          </w:p>
        </w:tc>
      </w:tr>
      <w:tr>
        <w:tc>
          <w:tcPr>
            <w:tcW w:type="dxa" w:w="504"/>
            <w:vAlign w:val="top"/>
          </w:tcPr>
          <w:p>
            <w:r/>
            <w:r>
              <w:rPr>
                <w:b w:val="0"/>
                <w:sz w:val="14"/>
              </w:rPr>
              <w:t>93</w:t>
            </w:r>
          </w:p>
        </w:tc>
        <w:tc>
          <w:tcPr>
            <w:tcW w:type="dxa" w:w="1944"/>
            <w:vAlign w:val="top"/>
          </w:tcPr>
          <w:p>
            <w:r/>
            <w:r>
              <w:rPr>
                <w:b w:val="0"/>
                <w:sz w:val="14"/>
              </w:rPr>
              <w:t>Memory and pattern intelligence</w:t>
            </w:r>
          </w:p>
        </w:tc>
        <w:tc>
          <w:tcPr>
            <w:tcW w:type="dxa" w:w="1008"/>
            <w:vAlign w:val="top"/>
          </w:tcPr>
          <w:p>
            <w:r/>
            <w:r>
              <w:rPr>
                <w:b w:val="0"/>
                <w:sz w:val="14"/>
              </w:rPr>
              <w:t>Medium</w:t>
            </w:r>
          </w:p>
        </w:tc>
        <w:tc>
          <w:tcPr>
            <w:tcW w:type="dxa" w:w="2880"/>
            <w:vAlign w:val="top"/>
          </w:tcPr>
          <w:p>
            <w:r/>
            <w:r>
              <w:rPr>
                <w:b w:val="0"/>
                <w:sz w:val="14"/>
              </w:rPr>
              <w:t>No pattern quality dashboard.</w:t>
            </w:r>
          </w:p>
        </w:tc>
        <w:tc>
          <w:tcPr>
            <w:tcW w:type="dxa" w:w="4320"/>
            <w:vAlign w:val="top"/>
          </w:tcPr>
          <w:p>
            <w:r/>
            <w:r>
              <w:rPr>
                <w:b w:val="0"/>
                <w:sz w:val="14"/>
              </w:rPr>
              <w:t>Track which pattern flags lead to real actions, which are ignored, and which generate noise.</w:t>
            </w:r>
          </w:p>
        </w:tc>
      </w:tr>
      <w:tr>
        <w:tc>
          <w:tcPr>
            <w:tcW w:type="dxa" w:w="504"/>
            <w:vAlign w:val="top"/>
          </w:tcPr>
          <w:p>
            <w:r/>
            <w:r>
              <w:rPr>
                <w:b w:val="0"/>
                <w:sz w:val="14"/>
              </w:rPr>
              <w:t>94</w:t>
            </w:r>
          </w:p>
        </w:tc>
        <w:tc>
          <w:tcPr>
            <w:tcW w:type="dxa" w:w="1944"/>
            <w:vAlign w:val="top"/>
          </w:tcPr>
          <w:p>
            <w:r/>
            <w:r>
              <w:rPr>
                <w:b w:val="0"/>
                <w:sz w:val="14"/>
              </w:rPr>
              <w:t>Observability and analytics</w:t>
            </w:r>
          </w:p>
        </w:tc>
        <w:tc>
          <w:tcPr>
            <w:tcW w:type="dxa" w:w="1008"/>
            <w:vAlign w:val="top"/>
          </w:tcPr>
          <w:p>
            <w:r/>
            <w:r>
              <w:rPr>
                <w:b w:val="0"/>
                <w:sz w:val="14"/>
              </w:rPr>
              <w:t>Blocker</w:t>
            </w:r>
          </w:p>
        </w:tc>
        <w:tc>
          <w:tcPr>
            <w:tcW w:type="dxa" w:w="2880"/>
            <w:vAlign w:val="top"/>
          </w:tcPr>
          <w:p>
            <w:r/>
            <w:r>
              <w:rPr>
                <w:b w:val="0"/>
                <w:sz w:val="14"/>
              </w:rPr>
              <w:t>Print statements are not operational logging.</w:t>
            </w:r>
          </w:p>
        </w:tc>
        <w:tc>
          <w:tcPr>
            <w:tcW w:type="dxa" w:w="4320"/>
            <w:vAlign w:val="top"/>
          </w:tcPr>
          <w:p>
            <w:r/>
            <w:r>
              <w:rPr>
                <w:b w:val="0"/>
                <w:sz w:val="14"/>
              </w:rPr>
              <w:t>Use structured logs with job ID, email ID, case ID, run ID, parser version, policy version, outcome, latency, and error fields.</w:t>
            </w:r>
          </w:p>
        </w:tc>
      </w:tr>
      <w:tr>
        <w:tc>
          <w:tcPr>
            <w:tcW w:type="dxa" w:w="504"/>
            <w:vAlign w:val="top"/>
          </w:tcPr>
          <w:p>
            <w:r/>
            <w:r>
              <w:rPr>
                <w:b w:val="0"/>
                <w:sz w:val="14"/>
              </w:rPr>
              <w:t>95</w:t>
            </w:r>
          </w:p>
        </w:tc>
        <w:tc>
          <w:tcPr>
            <w:tcW w:type="dxa" w:w="1944"/>
            <w:vAlign w:val="top"/>
          </w:tcPr>
          <w:p>
            <w:r/>
            <w:r>
              <w:rPr>
                <w:b w:val="0"/>
                <w:sz w:val="14"/>
              </w:rPr>
              <w:t>Observability and analytics</w:t>
            </w:r>
          </w:p>
        </w:tc>
        <w:tc>
          <w:tcPr>
            <w:tcW w:type="dxa" w:w="1008"/>
            <w:vAlign w:val="top"/>
          </w:tcPr>
          <w:p>
            <w:r/>
            <w:r>
              <w:rPr>
                <w:b w:val="0"/>
                <w:sz w:val="14"/>
              </w:rPr>
              <w:t>High</w:t>
            </w:r>
          </w:p>
        </w:tc>
        <w:tc>
          <w:tcPr>
            <w:tcW w:type="dxa" w:w="2880"/>
            <w:vAlign w:val="top"/>
          </w:tcPr>
          <w:p>
            <w:r/>
            <w:r>
              <w:rPr>
                <w:b w:val="0"/>
                <w:sz w:val="14"/>
              </w:rPr>
              <w:t>No dashboards.</w:t>
            </w:r>
          </w:p>
        </w:tc>
        <w:tc>
          <w:tcPr>
            <w:tcW w:type="dxa" w:w="4320"/>
            <w:vAlign w:val="top"/>
          </w:tcPr>
          <w:p>
            <w:r/>
            <w:r>
              <w:rPr>
                <w:b w:val="0"/>
                <w:sz w:val="14"/>
              </w:rPr>
              <w:t>Build dashboards for ingest volume, accepted rate, review rate, unsupported families, parser misses, outbound drafts, sends, follow-ups, escalations, AI calls, and failures.</w:t>
            </w:r>
          </w:p>
        </w:tc>
      </w:tr>
      <w:tr>
        <w:tc>
          <w:tcPr>
            <w:tcW w:type="dxa" w:w="504"/>
            <w:vAlign w:val="top"/>
          </w:tcPr>
          <w:p>
            <w:r/>
            <w:r>
              <w:rPr>
                <w:b w:val="0"/>
                <w:sz w:val="14"/>
              </w:rPr>
              <w:t>96</w:t>
            </w:r>
          </w:p>
        </w:tc>
        <w:tc>
          <w:tcPr>
            <w:tcW w:type="dxa" w:w="1944"/>
            <w:vAlign w:val="top"/>
          </w:tcPr>
          <w:p>
            <w:r/>
            <w:r>
              <w:rPr>
                <w:b w:val="0"/>
                <w:sz w:val="14"/>
              </w:rPr>
              <w:t>Observability and analytics</w:t>
            </w:r>
          </w:p>
        </w:tc>
        <w:tc>
          <w:tcPr>
            <w:tcW w:type="dxa" w:w="1008"/>
            <w:vAlign w:val="top"/>
          </w:tcPr>
          <w:p>
            <w:r/>
            <w:r>
              <w:rPr>
                <w:b w:val="0"/>
                <w:sz w:val="14"/>
              </w:rPr>
              <w:t>High</w:t>
            </w:r>
          </w:p>
        </w:tc>
        <w:tc>
          <w:tcPr>
            <w:tcW w:type="dxa" w:w="2880"/>
            <w:vAlign w:val="top"/>
          </w:tcPr>
          <w:p>
            <w:r/>
            <w:r>
              <w:rPr>
                <w:b w:val="0"/>
                <w:sz w:val="14"/>
              </w:rPr>
              <w:t>No alerting.</w:t>
            </w:r>
          </w:p>
        </w:tc>
        <w:tc>
          <w:tcPr>
            <w:tcW w:type="dxa" w:w="4320"/>
            <w:vAlign w:val="top"/>
          </w:tcPr>
          <w:p>
            <w:r/>
            <w:r>
              <w:rPr>
                <w:b w:val="0"/>
                <w:sz w:val="14"/>
              </w:rPr>
              <w:t>Alert when parsing fails spike, review backlog grows, outbound errors occur, AI budget is exhausted, scheduler stalls, or inbox polling fails.</w:t>
            </w:r>
          </w:p>
        </w:tc>
      </w:tr>
      <w:tr>
        <w:tc>
          <w:tcPr>
            <w:tcW w:type="dxa" w:w="504"/>
            <w:vAlign w:val="top"/>
          </w:tcPr>
          <w:p>
            <w:r/>
            <w:r>
              <w:rPr>
                <w:b w:val="0"/>
                <w:sz w:val="14"/>
              </w:rPr>
              <w:t>97</w:t>
            </w:r>
          </w:p>
        </w:tc>
        <w:tc>
          <w:tcPr>
            <w:tcW w:type="dxa" w:w="1944"/>
            <w:vAlign w:val="top"/>
          </w:tcPr>
          <w:p>
            <w:r/>
            <w:r>
              <w:rPr>
                <w:b w:val="0"/>
                <w:sz w:val="14"/>
              </w:rPr>
              <w:t>Observability and analytics</w:t>
            </w:r>
          </w:p>
        </w:tc>
        <w:tc>
          <w:tcPr>
            <w:tcW w:type="dxa" w:w="1008"/>
            <w:vAlign w:val="top"/>
          </w:tcPr>
          <w:p>
            <w:r/>
            <w:r>
              <w:rPr>
                <w:b w:val="0"/>
                <w:sz w:val="14"/>
              </w:rPr>
              <w:t>Medium</w:t>
            </w:r>
          </w:p>
        </w:tc>
        <w:tc>
          <w:tcPr>
            <w:tcW w:type="dxa" w:w="2880"/>
            <w:vAlign w:val="top"/>
          </w:tcPr>
          <w:p>
            <w:r/>
            <w:r>
              <w:rPr>
                <w:b w:val="0"/>
                <w:sz w:val="14"/>
              </w:rPr>
              <w:t>No latency metrics.</w:t>
            </w:r>
          </w:p>
        </w:tc>
        <w:tc>
          <w:tcPr>
            <w:tcW w:type="dxa" w:w="4320"/>
            <w:vAlign w:val="top"/>
          </w:tcPr>
          <w:p>
            <w:r/>
            <w:r>
              <w:rPr>
                <w:b w:val="0"/>
                <w:sz w:val="14"/>
              </w:rPr>
              <w:t>Track time from email received to case created, draft created, review assigned, reply received, and closed.</w:t>
            </w:r>
          </w:p>
        </w:tc>
      </w:tr>
      <w:tr>
        <w:tc>
          <w:tcPr>
            <w:tcW w:type="dxa" w:w="504"/>
            <w:vAlign w:val="top"/>
          </w:tcPr>
          <w:p>
            <w:r/>
            <w:r>
              <w:rPr>
                <w:b w:val="0"/>
                <w:sz w:val="14"/>
              </w:rPr>
              <w:t>98</w:t>
            </w:r>
          </w:p>
        </w:tc>
        <w:tc>
          <w:tcPr>
            <w:tcW w:type="dxa" w:w="1944"/>
            <w:vAlign w:val="top"/>
          </w:tcPr>
          <w:p>
            <w:r/>
            <w:r>
              <w:rPr>
                <w:b w:val="0"/>
                <w:sz w:val="14"/>
              </w:rPr>
              <w:t>Observability and analytics</w:t>
            </w:r>
          </w:p>
        </w:tc>
        <w:tc>
          <w:tcPr>
            <w:tcW w:type="dxa" w:w="1008"/>
            <w:vAlign w:val="top"/>
          </w:tcPr>
          <w:p>
            <w:r/>
            <w:r>
              <w:rPr>
                <w:b w:val="0"/>
                <w:sz w:val="14"/>
              </w:rPr>
              <w:t>Medium</w:t>
            </w:r>
          </w:p>
        </w:tc>
        <w:tc>
          <w:tcPr>
            <w:tcW w:type="dxa" w:w="2880"/>
            <w:vAlign w:val="top"/>
          </w:tcPr>
          <w:p>
            <w:r/>
            <w:r>
              <w:rPr>
                <w:b w:val="0"/>
                <w:sz w:val="14"/>
              </w:rPr>
              <w:t>No operational audit report.</w:t>
            </w:r>
          </w:p>
        </w:tc>
        <w:tc>
          <w:tcPr>
            <w:tcW w:type="dxa" w:w="4320"/>
            <w:vAlign w:val="top"/>
          </w:tcPr>
          <w:p>
            <w:r/>
            <w:r>
              <w:rPr>
                <w:b w:val="0"/>
                <w:sz w:val="14"/>
              </w:rPr>
              <w:t>Generate weekly reports showing automation yield, human workload, top parser gaps, contractor responsiveness, and stale cases.</w:t>
            </w:r>
          </w:p>
        </w:tc>
      </w:tr>
      <w:tr>
        <w:tc>
          <w:tcPr>
            <w:tcW w:type="dxa" w:w="504"/>
            <w:vAlign w:val="top"/>
          </w:tcPr>
          <w:p>
            <w:r/>
            <w:r>
              <w:rPr>
                <w:b w:val="0"/>
                <w:sz w:val="14"/>
              </w:rPr>
              <w:t>99</w:t>
            </w:r>
          </w:p>
        </w:tc>
        <w:tc>
          <w:tcPr>
            <w:tcW w:type="dxa" w:w="1944"/>
            <w:vAlign w:val="top"/>
          </w:tcPr>
          <w:p>
            <w:r/>
            <w:r>
              <w:rPr>
                <w:b w:val="0"/>
                <w:sz w:val="14"/>
              </w:rPr>
              <w:t>Testing and quality assurance</w:t>
            </w:r>
          </w:p>
        </w:tc>
        <w:tc>
          <w:tcPr>
            <w:tcW w:type="dxa" w:w="1008"/>
            <w:vAlign w:val="top"/>
          </w:tcPr>
          <w:p>
            <w:r/>
            <w:r>
              <w:rPr>
                <w:b w:val="0"/>
                <w:sz w:val="14"/>
              </w:rPr>
              <w:t>Blocker</w:t>
            </w:r>
          </w:p>
        </w:tc>
        <w:tc>
          <w:tcPr>
            <w:tcW w:type="dxa" w:w="2880"/>
            <w:vAlign w:val="top"/>
          </w:tcPr>
          <w:p>
            <w:r/>
            <w:r>
              <w:rPr>
                <w:b w:val="0"/>
                <w:sz w:val="14"/>
              </w:rPr>
              <w:t>Real-world golden samples are missing from the upload.</w:t>
            </w:r>
          </w:p>
        </w:tc>
        <w:tc>
          <w:tcPr>
            <w:tcW w:type="dxa" w:w="4320"/>
            <w:vAlign w:val="top"/>
          </w:tcPr>
          <w:p>
            <w:r/>
            <w:r>
              <w:rPr>
                <w:b w:val="0"/>
                <w:sz w:val="14"/>
              </w:rPr>
              <w:t>Build a redacted corpus of real KPI emails with expected classification, fields, grouping, and review reasons.</w:t>
            </w:r>
          </w:p>
        </w:tc>
      </w:tr>
      <w:tr>
        <w:tc>
          <w:tcPr>
            <w:tcW w:type="dxa" w:w="504"/>
            <w:vAlign w:val="top"/>
          </w:tcPr>
          <w:p>
            <w:r/>
            <w:r>
              <w:rPr>
                <w:b w:val="0"/>
                <w:sz w:val="14"/>
              </w:rPr>
              <w:t>100</w:t>
            </w:r>
          </w:p>
        </w:tc>
        <w:tc>
          <w:tcPr>
            <w:tcW w:type="dxa" w:w="1944"/>
            <w:vAlign w:val="top"/>
          </w:tcPr>
          <w:p>
            <w:r/>
            <w:r>
              <w:rPr>
                <w:b w:val="0"/>
                <w:sz w:val="14"/>
              </w:rPr>
              <w:t>Testing and quality assurance</w:t>
            </w:r>
          </w:p>
        </w:tc>
        <w:tc>
          <w:tcPr>
            <w:tcW w:type="dxa" w:w="1008"/>
            <w:vAlign w:val="top"/>
          </w:tcPr>
          <w:p>
            <w:r/>
            <w:r>
              <w:rPr>
                <w:b w:val="0"/>
                <w:sz w:val="14"/>
              </w:rPr>
              <w:t>High</w:t>
            </w:r>
          </w:p>
        </w:tc>
        <w:tc>
          <w:tcPr>
            <w:tcW w:type="dxa" w:w="2880"/>
            <w:vAlign w:val="top"/>
          </w:tcPr>
          <w:p>
            <w:r/>
            <w:r>
              <w:rPr>
                <w:b w:val="0"/>
                <w:sz w:val="14"/>
              </w:rPr>
              <w:t>Parser tests need to be exhaustive.</w:t>
            </w:r>
          </w:p>
        </w:tc>
        <w:tc>
          <w:tcPr>
            <w:tcW w:type="dxa" w:w="4320"/>
            <w:vAlign w:val="top"/>
          </w:tcPr>
          <w:p>
            <w:r/>
            <w:r>
              <w:rPr>
                <w:b w:val="0"/>
                <w:sz w:val="14"/>
              </w:rPr>
              <w:t>For every supported case type, test common layouts, missing labels, HTML tables, weird whitespace, bilingual variants, and malformed values.</w:t>
            </w:r>
          </w:p>
        </w:tc>
      </w:tr>
      <w:tr>
        <w:tc>
          <w:tcPr>
            <w:tcW w:type="dxa" w:w="504"/>
            <w:vAlign w:val="top"/>
          </w:tcPr>
          <w:p>
            <w:r/>
            <w:r>
              <w:rPr>
                <w:b w:val="0"/>
                <w:sz w:val="14"/>
              </w:rPr>
              <w:t>101</w:t>
            </w:r>
          </w:p>
        </w:tc>
        <w:tc>
          <w:tcPr>
            <w:tcW w:type="dxa" w:w="1944"/>
            <w:vAlign w:val="top"/>
          </w:tcPr>
          <w:p>
            <w:r/>
            <w:r>
              <w:rPr>
                <w:b w:val="0"/>
                <w:sz w:val="14"/>
              </w:rPr>
              <w:t>Testing and quality assurance</w:t>
            </w:r>
          </w:p>
        </w:tc>
        <w:tc>
          <w:tcPr>
            <w:tcW w:type="dxa" w:w="1008"/>
            <w:vAlign w:val="top"/>
          </w:tcPr>
          <w:p>
            <w:r/>
            <w:r>
              <w:rPr>
                <w:b w:val="0"/>
                <w:sz w:val="14"/>
              </w:rPr>
              <w:t>High</w:t>
            </w:r>
          </w:p>
        </w:tc>
        <w:tc>
          <w:tcPr>
            <w:tcW w:type="dxa" w:w="2880"/>
            <w:vAlign w:val="top"/>
          </w:tcPr>
          <w:p>
            <w:r/>
            <w:r>
              <w:rPr>
                <w:b w:val="0"/>
                <w:sz w:val="14"/>
              </w:rPr>
              <w:t>Safety tests need to be adversarial.</w:t>
            </w:r>
          </w:p>
        </w:tc>
        <w:tc>
          <w:tcPr>
            <w:tcW w:type="dxa" w:w="4320"/>
            <w:vAlign w:val="top"/>
          </w:tcPr>
          <w:p>
            <w:r/>
            <w:r>
              <w:rPr>
                <w:b w:val="0"/>
                <w:sz w:val="14"/>
              </w:rPr>
              <w:t>Add prompt-injection, spoofed sender, unexpected attachment, malicious link, bad recipient, and outbound leakage tests.</w:t>
            </w:r>
          </w:p>
        </w:tc>
      </w:tr>
      <w:tr>
        <w:tc>
          <w:tcPr>
            <w:tcW w:type="dxa" w:w="504"/>
            <w:vAlign w:val="top"/>
          </w:tcPr>
          <w:p>
            <w:r/>
            <w:r>
              <w:rPr>
                <w:b w:val="0"/>
                <w:sz w:val="14"/>
              </w:rPr>
              <w:t>102</w:t>
            </w:r>
          </w:p>
        </w:tc>
        <w:tc>
          <w:tcPr>
            <w:tcW w:type="dxa" w:w="1944"/>
            <w:vAlign w:val="top"/>
          </w:tcPr>
          <w:p>
            <w:r/>
            <w:r>
              <w:rPr>
                <w:b w:val="0"/>
                <w:sz w:val="14"/>
              </w:rPr>
              <w:t>Testing and quality assurance</w:t>
            </w:r>
          </w:p>
        </w:tc>
        <w:tc>
          <w:tcPr>
            <w:tcW w:type="dxa" w:w="1008"/>
            <w:vAlign w:val="top"/>
          </w:tcPr>
          <w:p>
            <w:r/>
            <w:r>
              <w:rPr>
                <w:b w:val="0"/>
                <w:sz w:val="14"/>
              </w:rPr>
              <w:t>High</w:t>
            </w:r>
          </w:p>
        </w:tc>
        <w:tc>
          <w:tcPr>
            <w:tcW w:type="dxa" w:w="2880"/>
            <w:vAlign w:val="top"/>
          </w:tcPr>
          <w:p>
            <w:r/>
            <w:r>
              <w:rPr>
                <w:b w:val="0"/>
                <w:sz w:val="14"/>
              </w:rPr>
              <w:t>End-to-end tests should assert business outcomes.</w:t>
            </w:r>
          </w:p>
        </w:tc>
        <w:tc>
          <w:tcPr>
            <w:tcW w:type="dxa" w:w="4320"/>
            <w:vAlign w:val="top"/>
          </w:tcPr>
          <w:p>
            <w:r/>
            <w:r>
              <w:rPr>
                <w:b w:val="0"/>
                <w:sz w:val="14"/>
              </w:rPr>
              <w:t>Test full scenarios: duplicate alerts group, reply indicates scheduled work, no response escalates, case closes only after human action.</w:t>
            </w:r>
          </w:p>
        </w:tc>
      </w:tr>
      <w:tr>
        <w:tc>
          <w:tcPr>
            <w:tcW w:type="dxa" w:w="504"/>
            <w:vAlign w:val="top"/>
          </w:tcPr>
          <w:p>
            <w:r/>
            <w:r>
              <w:rPr>
                <w:b w:val="0"/>
                <w:sz w:val="14"/>
              </w:rPr>
              <w:t>103</w:t>
            </w:r>
          </w:p>
        </w:tc>
        <w:tc>
          <w:tcPr>
            <w:tcW w:type="dxa" w:w="1944"/>
            <w:vAlign w:val="top"/>
          </w:tcPr>
          <w:p>
            <w:r/>
            <w:r>
              <w:rPr>
                <w:b w:val="0"/>
                <w:sz w:val="14"/>
              </w:rPr>
              <w:t>Testing and quality assurance</w:t>
            </w:r>
          </w:p>
        </w:tc>
        <w:tc>
          <w:tcPr>
            <w:tcW w:type="dxa" w:w="1008"/>
            <w:vAlign w:val="top"/>
          </w:tcPr>
          <w:p>
            <w:r/>
            <w:r>
              <w:rPr>
                <w:b w:val="0"/>
                <w:sz w:val="14"/>
              </w:rPr>
              <w:t>Medium</w:t>
            </w:r>
          </w:p>
        </w:tc>
        <w:tc>
          <w:tcPr>
            <w:tcW w:type="dxa" w:w="2880"/>
            <w:vAlign w:val="top"/>
          </w:tcPr>
          <w:p>
            <w:r/>
            <w:r>
              <w:rPr>
                <w:b w:val="0"/>
                <w:sz w:val="14"/>
              </w:rPr>
              <w:t>No property-based or mutation tests.</w:t>
            </w:r>
          </w:p>
        </w:tc>
        <w:tc>
          <w:tcPr>
            <w:tcW w:type="dxa" w:w="4320"/>
            <w:vAlign w:val="top"/>
          </w:tcPr>
          <w:p>
            <w:r/>
            <w:r>
              <w:rPr>
                <w:b w:val="0"/>
                <w:sz w:val="14"/>
              </w:rPr>
              <w:t>Use generated variations to prove parsers are not just memorizing the happy path.</w:t>
            </w:r>
          </w:p>
        </w:tc>
      </w:tr>
      <w:tr>
        <w:tc>
          <w:tcPr>
            <w:tcW w:type="dxa" w:w="504"/>
            <w:vAlign w:val="top"/>
          </w:tcPr>
          <w:p>
            <w:r/>
            <w:r>
              <w:rPr>
                <w:b w:val="0"/>
                <w:sz w:val="14"/>
              </w:rPr>
              <w:t>104</w:t>
            </w:r>
          </w:p>
        </w:tc>
        <w:tc>
          <w:tcPr>
            <w:tcW w:type="dxa" w:w="1944"/>
            <w:vAlign w:val="top"/>
          </w:tcPr>
          <w:p>
            <w:r/>
            <w:r>
              <w:rPr>
                <w:b w:val="0"/>
                <w:sz w:val="14"/>
              </w:rPr>
              <w:t>Testing and quality assurance</w:t>
            </w:r>
          </w:p>
        </w:tc>
        <w:tc>
          <w:tcPr>
            <w:tcW w:type="dxa" w:w="1008"/>
            <w:vAlign w:val="top"/>
          </w:tcPr>
          <w:p>
            <w:r/>
            <w:r>
              <w:rPr>
                <w:b w:val="0"/>
                <w:sz w:val="14"/>
              </w:rPr>
              <w:t>Medium</w:t>
            </w:r>
          </w:p>
        </w:tc>
        <w:tc>
          <w:tcPr>
            <w:tcW w:type="dxa" w:w="2880"/>
            <w:vAlign w:val="top"/>
          </w:tcPr>
          <w:p>
            <w:r/>
            <w:r>
              <w:rPr>
                <w:b w:val="0"/>
                <w:sz w:val="14"/>
              </w:rPr>
              <w:t>No load tests.</w:t>
            </w:r>
          </w:p>
        </w:tc>
        <w:tc>
          <w:tcPr>
            <w:tcW w:type="dxa" w:w="4320"/>
            <w:vAlign w:val="top"/>
          </w:tcPr>
          <w:p>
            <w:r/>
            <w:r>
              <w:rPr>
                <w:b w:val="0"/>
                <w:sz w:val="14"/>
              </w:rPr>
              <w:t>Simulate thousands of historical messages and multiple workers to catch SQLite, cache, and file IO bottlenecks.</w:t>
            </w:r>
          </w:p>
        </w:tc>
      </w:tr>
      <w:tr>
        <w:tc>
          <w:tcPr>
            <w:tcW w:type="dxa" w:w="504"/>
            <w:vAlign w:val="top"/>
          </w:tcPr>
          <w:p>
            <w:r/>
            <w:r>
              <w:rPr>
                <w:b w:val="0"/>
                <w:sz w:val="14"/>
              </w:rPr>
              <w:t>105</w:t>
            </w:r>
          </w:p>
        </w:tc>
        <w:tc>
          <w:tcPr>
            <w:tcW w:type="dxa" w:w="1944"/>
            <w:vAlign w:val="top"/>
          </w:tcPr>
          <w:p>
            <w:r/>
            <w:r>
              <w:rPr>
                <w:b w:val="0"/>
                <w:sz w:val="14"/>
              </w:rPr>
              <w:t>Reliability and error handling</w:t>
            </w:r>
          </w:p>
        </w:tc>
        <w:tc>
          <w:tcPr>
            <w:tcW w:type="dxa" w:w="1008"/>
            <w:vAlign w:val="top"/>
          </w:tcPr>
          <w:p>
            <w:r/>
            <w:r>
              <w:rPr>
                <w:b w:val="0"/>
                <w:sz w:val="14"/>
              </w:rPr>
              <w:t>High</w:t>
            </w:r>
          </w:p>
        </w:tc>
        <w:tc>
          <w:tcPr>
            <w:tcW w:type="dxa" w:w="2880"/>
            <w:vAlign w:val="top"/>
          </w:tcPr>
          <w:p>
            <w:r/>
            <w:r>
              <w:rPr>
                <w:b w:val="0"/>
                <w:sz w:val="14"/>
              </w:rPr>
              <w:t>Exception handling often logs and continues.</w:t>
            </w:r>
          </w:p>
        </w:tc>
        <w:tc>
          <w:tcPr>
            <w:tcW w:type="dxa" w:w="4320"/>
            <w:vAlign w:val="top"/>
          </w:tcPr>
          <w:p>
            <w:r/>
            <w:r>
              <w:rPr>
                <w:b w:val="0"/>
                <w:sz w:val="14"/>
              </w:rPr>
              <w:t>Classify errors as retryable, non-retryable, safety-blocked, malformed input, or operator-required.</w:t>
            </w:r>
          </w:p>
        </w:tc>
      </w:tr>
      <w:tr>
        <w:tc>
          <w:tcPr>
            <w:tcW w:type="dxa" w:w="504"/>
            <w:vAlign w:val="top"/>
          </w:tcPr>
          <w:p>
            <w:r/>
            <w:r>
              <w:rPr>
                <w:b w:val="0"/>
                <w:sz w:val="14"/>
              </w:rPr>
              <w:t>106</w:t>
            </w:r>
          </w:p>
        </w:tc>
        <w:tc>
          <w:tcPr>
            <w:tcW w:type="dxa" w:w="1944"/>
            <w:vAlign w:val="top"/>
          </w:tcPr>
          <w:p>
            <w:r/>
            <w:r>
              <w:rPr>
                <w:b w:val="0"/>
                <w:sz w:val="14"/>
              </w:rPr>
              <w:t>Reliability and error handling</w:t>
            </w:r>
          </w:p>
        </w:tc>
        <w:tc>
          <w:tcPr>
            <w:tcW w:type="dxa" w:w="1008"/>
            <w:vAlign w:val="top"/>
          </w:tcPr>
          <w:p>
            <w:r/>
            <w:r>
              <w:rPr>
                <w:b w:val="0"/>
                <w:sz w:val="14"/>
              </w:rPr>
              <w:t>High</w:t>
            </w:r>
          </w:p>
        </w:tc>
        <w:tc>
          <w:tcPr>
            <w:tcW w:type="dxa" w:w="2880"/>
            <w:vAlign w:val="top"/>
          </w:tcPr>
          <w:p>
            <w:r/>
            <w:r>
              <w:rPr>
                <w:b w:val="0"/>
                <w:sz w:val="14"/>
              </w:rPr>
              <w:t>No retry/backoff model.</w:t>
            </w:r>
          </w:p>
        </w:tc>
        <w:tc>
          <w:tcPr>
            <w:tcW w:type="dxa" w:w="4320"/>
            <w:vAlign w:val="top"/>
          </w:tcPr>
          <w:p>
            <w:r/>
            <w:r>
              <w:rPr>
                <w:b w:val="0"/>
                <w:sz w:val="14"/>
              </w:rPr>
              <w:t>Add controlled retries for transient IMAP, SMTP, AI, and database failures.</w:t>
            </w:r>
          </w:p>
        </w:tc>
      </w:tr>
      <w:tr>
        <w:tc>
          <w:tcPr>
            <w:tcW w:type="dxa" w:w="504"/>
            <w:vAlign w:val="top"/>
          </w:tcPr>
          <w:p>
            <w:r/>
            <w:r>
              <w:rPr>
                <w:b w:val="0"/>
                <w:sz w:val="14"/>
              </w:rPr>
              <w:t>107</w:t>
            </w:r>
          </w:p>
        </w:tc>
        <w:tc>
          <w:tcPr>
            <w:tcW w:type="dxa" w:w="1944"/>
            <w:vAlign w:val="top"/>
          </w:tcPr>
          <w:p>
            <w:r/>
            <w:r>
              <w:rPr>
                <w:b w:val="0"/>
                <w:sz w:val="14"/>
              </w:rPr>
              <w:t>Reliability and error handling</w:t>
            </w:r>
          </w:p>
        </w:tc>
        <w:tc>
          <w:tcPr>
            <w:tcW w:type="dxa" w:w="1008"/>
            <w:vAlign w:val="top"/>
          </w:tcPr>
          <w:p>
            <w:r/>
            <w:r>
              <w:rPr>
                <w:b w:val="0"/>
                <w:sz w:val="14"/>
              </w:rPr>
              <w:t>High</w:t>
            </w:r>
          </w:p>
        </w:tc>
        <w:tc>
          <w:tcPr>
            <w:tcW w:type="dxa" w:w="2880"/>
            <w:vAlign w:val="top"/>
          </w:tcPr>
          <w:p>
            <w:r/>
            <w:r>
              <w:rPr>
                <w:b w:val="0"/>
                <w:sz w:val="14"/>
              </w:rPr>
              <w:t>No dead-letter queue.</w:t>
            </w:r>
          </w:p>
        </w:tc>
        <w:tc>
          <w:tcPr>
            <w:tcW w:type="dxa" w:w="4320"/>
            <w:vAlign w:val="top"/>
          </w:tcPr>
          <w:p>
            <w:r/>
            <w:r>
              <w:rPr>
                <w:b w:val="0"/>
                <w:sz w:val="14"/>
              </w:rPr>
              <w:t>Messages that repeatedly fail should land in a clear operator queue with full context.</w:t>
            </w:r>
          </w:p>
        </w:tc>
      </w:tr>
      <w:tr>
        <w:tc>
          <w:tcPr>
            <w:tcW w:type="dxa" w:w="504"/>
            <w:vAlign w:val="top"/>
          </w:tcPr>
          <w:p>
            <w:r/>
            <w:r>
              <w:rPr>
                <w:b w:val="0"/>
                <w:sz w:val="14"/>
              </w:rPr>
              <w:t>108</w:t>
            </w:r>
          </w:p>
        </w:tc>
        <w:tc>
          <w:tcPr>
            <w:tcW w:type="dxa" w:w="1944"/>
            <w:vAlign w:val="top"/>
          </w:tcPr>
          <w:p>
            <w:r/>
            <w:r>
              <w:rPr>
                <w:b w:val="0"/>
                <w:sz w:val="14"/>
              </w:rPr>
              <w:t>Reliability and error handling</w:t>
            </w:r>
          </w:p>
        </w:tc>
        <w:tc>
          <w:tcPr>
            <w:tcW w:type="dxa" w:w="1008"/>
            <w:vAlign w:val="top"/>
          </w:tcPr>
          <w:p>
            <w:r/>
            <w:r>
              <w:rPr>
                <w:b w:val="0"/>
                <w:sz w:val="14"/>
              </w:rPr>
              <w:t>Medium</w:t>
            </w:r>
          </w:p>
        </w:tc>
        <w:tc>
          <w:tcPr>
            <w:tcW w:type="dxa" w:w="2880"/>
            <w:vAlign w:val="top"/>
          </w:tcPr>
          <w:p>
            <w:r/>
            <w:r>
              <w:rPr>
                <w:b w:val="0"/>
                <w:sz w:val="14"/>
              </w:rPr>
              <w:t>No graceful shutdown model.</w:t>
            </w:r>
          </w:p>
        </w:tc>
        <w:tc>
          <w:tcPr>
            <w:tcW w:type="dxa" w:w="4320"/>
            <w:vAlign w:val="top"/>
          </w:tcPr>
          <w:p>
            <w:r/>
            <w:r>
              <w:rPr>
                <w:b w:val="0"/>
                <w:sz w:val="14"/>
              </w:rPr>
              <w:t>Make workers stop after completing in-flight jobs and persist partial progress.</w:t>
            </w:r>
          </w:p>
        </w:tc>
      </w:tr>
      <w:tr>
        <w:tc>
          <w:tcPr>
            <w:tcW w:type="dxa" w:w="504"/>
            <w:vAlign w:val="top"/>
          </w:tcPr>
          <w:p>
            <w:r/>
            <w:r>
              <w:rPr>
                <w:b w:val="0"/>
                <w:sz w:val="14"/>
              </w:rPr>
              <w:t>109</w:t>
            </w:r>
          </w:p>
        </w:tc>
        <w:tc>
          <w:tcPr>
            <w:tcW w:type="dxa" w:w="1944"/>
            <w:vAlign w:val="top"/>
          </w:tcPr>
          <w:p>
            <w:r/>
            <w:r>
              <w:rPr>
                <w:b w:val="0"/>
                <w:sz w:val="14"/>
              </w:rPr>
              <w:t>Reliability and error handling</w:t>
            </w:r>
          </w:p>
        </w:tc>
        <w:tc>
          <w:tcPr>
            <w:tcW w:type="dxa" w:w="1008"/>
            <w:vAlign w:val="top"/>
          </w:tcPr>
          <w:p>
            <w:r/>
            <w:r>
              <w:rPr>
                <w:b w:val="0"/>
                <w:sz w:val="14"/>
              </w:rPr>
              <w:t>Medium</w:t>
            </w:r>
          </w:p>
        </w:tc>
        <w:tc>
          <w:tcPr>
            <w:tcW w:type="dxa" w:w="2880"/>
            <w:vAlign w:val="top"/>
          </w:tcPr>
          <w:p>
            <w:r/>
            <w:r>
              <w:rPr>
                <w:b w:val="0"/>
                <w:sz w:val="14"/>
              </w:rPr>
              <w:t>No health checks.</w:t>
            </w:r>
          </w:p>
        </w:tc>
        <w:tc>
          <w:tcPr>
            <w:tcW w:type="dxa" w:w="4320"/>
            <w:vAlign w:val="top"/>
          </w:tcPr>
          <w:p>
            <w:r/>
            <w:r>
              <w:rPr>
                <w:b w:val="0"/>
                <w:sz w:val="14"/>
              </w:rPr>
              <w:t>Expose health endpoints for database, scheduler, inbox, SMTP, AI gateway, and worker queue.</w:t>
            </w:r>
          </w:p>
        </w:tc>
      </w:tr>
      <w:tr>
        <w:tc>
          <w:tcPr>
            <w:tcW w:type="dxa" w:w="504"/>
            <w:vAlign w:val="top"/>
          </w:tcPr>
          <w:p>
            <w:r/>
            <w:r>
              <w:rPr>
                <w:b w:val="0"/>
                <w:sz w:val="14"/>
              </w:rPr>
              <w:t>110</w:t>
            </w:r>
          </w:p>
        </w:tc>
        <w:tc>
          <w:tcPr>
            <w:tcW w:type="dxa" w:w="1944"/>
            <w:vAlign w:val="top"/>
          </w:tcPr>
          <w:p>
            <w:r/>
            <w:r>
              <w:rPr>
                <w:b w:val="0"/>
                <w:sz w:val="14"/>
              </w:rPr>
              <w:t>Reliability and error handling</w:t>
            </w:r>
          </w:p>
        </w:tc>
        <w:tc>
          <w:tcPr>
            <w:tcW w:type="dxa" w:w="1008"/>
            <w:vAlign w:val="top"/>
          </w:tcPr>
          <w:p>
            <w:r/>
            <w:r>
              <w:rPr>
                <w:b w:val="0"/>
                <w:sz w:val="14"/>
              </w:rPr>
              <w:t>Low</w:t>
            </w:r>
          </w:p>
        </w:tc>
        <w:tc>
          <w:tcPr>
            <w:tcW w:type="dxa" w:w="2880"/>
            <w:vAlign w:val="top"/>
          </w:tcPr>
          <w:p>
            <w:r/>
            <w:r>
              <w:rPr>
                <w:b w:val="0"/>
                <w:sz w:val="14"/>
              </w:rPr>
              <w:t>No chaos testing.</w:t>
            </w:r>
          </w:p>
        </w:tc>
        <w:tc>
          <w:tcPr>
            <w:tcW w:type="dxa" w:w="4320"/>
            <w:vAlign w:val="top"/>
          </w:tcPr>
          <w:p>
            <w:r/>
            <w:r>
              <w:rPr>
                <w:b w:val="0"/>
                <w:sz w:val="14"/>
              </w:rPr>
              <w:t>Periodically test what happens when IMAP fails, SMTP fails, DB locks, AI budget expires, and cache is corrupt.</w:t>
            </w:r>
          </w:p>
        </w:tc>
      </w:tr>
      <w:tr>
        <w:tc>
          <w:tcPr>
            <w:tcW w:type="dxa" w:w="504"/>
            <w:vAlign w:val="top"/>
          </w:tcPr>
          <w:p>
            <w:r/>
            <w:r>
              <w:rPr>
                <w:b w:val="0"/>
                <w:sz w:val="14"/>
              </w:rPr>
              <w:t>111</w:t>
            </w:r>
          </w:p>
        </w:tc>
        <w:tc>
          <w:tcPr>
            <w:tcW w:type="dxa" w:w="1944"/>
            <w:vAlign w:val="top"/>
          </w:tcPr>
          <w:p>
            <w:r/>
            <w:r>
              <w:rPr>
                <w:b w:val="0"/>
                <w:sz w:val="14"/>
              </w:rPr>
              <w:t>Performance and scale</w:t>
            </w:r>
          </w:p>
        </w:tc>
        <w:tc>
          <w:tcPr>
            <w:tcW w:type="dxa" w:w="1008"/>
            <w:vAlign w:val="top"/>
          </w:tcPr>
          <w:p>
            <w:r/>
            <w:r>
              <w:rPr>
                <w:b w:val="0"/>
                <w:sz w:val="14"/>
              </w:rPr>
              <w:t>High</w:t>
            </w:r>
          </w:p>
        </w:tc>
        <w:tc>
          <w:tcPr>
            <w:tcW w:type="dxa" w:w="2880"/>
            <w:vAlign w:val="top"/>
          </w:tcPr>
          <w:p>
            <w:r/>
            <w:r>
              <w:rPr>
                <w:b w:val="0"/>
                <w:sz w:val="14"/>
              </w:rPr>
              <w:t>SQLite plus file cache will bottleneck under concurrency.</w:t>
            </w:r>
          </w:p>
        </w:tc>
        <w:tc>
          <w:tcPr>
            <w:tcW w:type="dxa" w:w="4320"/>
            <w:vAlign w:val="top"/>
          </w:tcPr>
          <w:p>
            <w:r/>
            <w:r>
              <w:rPr>
                <w:b w:val="0"/>
                <w:sz w:val="14"/>
              </w:rPr>
              <w:t>Use Postgres and a lock-safe cache store for multi-worker operation.</w:t>
            </w:r>
          </w:p>
        </w:tc>
      </w:tr>
      <w:tr>
        <w:tc>
          <w:tcPr>
            <w:tcW w:type="dxa" w:w="504"/>
            <w:vAlign w:val="top"/>
          </w:tcPr>
          <w:p>
            <w:r/>
            <w:r>
              <w:rPr>
                <w:b w:val="0"/>
                <w:sz w:val="14"/>
              </w:rPr>
              <w:t>112</w:t>
            </w:r>
          </w:p>
        </w:tc>
        <w:tc>
          <w:tcPr>
            <w:tcW w:type="dxa" w:w="1944"/>
            <w:vAlign w:val="top"/>
          </w:tcPr>
          <w:p>
            <w:r/>
            <w:r>
              <w:rPr>
                <w:b w:val="0"/>
                <w:sz w:val="14"/>
              </w:rPr>
              <w:t>Performance and scale</w:t>
            </w:r>
          </w:p>
        </w:tc>
        <w:tc>
          <w:tcPr>
            <w:tcW w:type="dxa" w:w="1008"/>
            <w:vAlign w:val="top"/>
          </w:tcPr>
          <w:p>
            <w:r/>
            <w:r>
              <w:rPr>
                <w:b w:val="0"/>
                <w:sz w:val="14"/>
              </w:rPr>
              <w:t>High</w:t>
            </w:r>
          </w:p>
        </w:tc>
        <w:tc>
          <w:tcPr>
            <w:tcW w:type="dxa" w:w="2880"/>
            <w:vAlign w:val="top"/>
          </w:tcPr>
          <w:p>
            <w:r/>
            <w:r>
              <w:rPr>
                <w:b w:val="0"/>
                <w:sz w:val="14"/>
              </w:rPr>
              <w:t>Per-run reports and cache files can grow messy.</w:t>
            </w:r>
          </w:p>
        </w:tc>
        <w:tc>
          <w:tcPr>
            <w:tcW w:type="dxa" w:w="4320"/>
            <w:vAlign w:val="top"/>
          </w:tcPr>
          <w:p>
            <w:r/>
            <w:r>
              <w:rPr>
                <w:b w:val="0"/>
                <w:sz w:val="14"/>
              </w:rPr>
              <w:t>Store run metadata and AI call records in database tables with retention and export jobs.</w:t>
            </w:r>
          </w:p>
        </w:tc>
      </w:tr>
      <w:tr>
        <w:tc>
          <w:tcPr>
            <w:tcW w:type="dxa" w:w="504"/>
            <w:vAlign w:val="top"/>
          </w:tcPr>
          <w:p>
            <w:r/>
            <w:r>
              <w:rPr>
                <w:b w:val="0"/>
                <w:sz w:val="14"/>
              </w:rPr>
              <w:t>113</w:t>
            </w:r>
          </w:p>
        </w:tc>
        <w:tc>
          <w:tcPr>
            <w:tcW w:type="dxa" w:w="1944"/>
            <w:vAlign w:val="top"/>
          </w:tcPr>
          <w:p>
            <w:r/>
            <w:r>
              <w:rPr>
                <w:b w:val="0"/>
                <w:sz w:val="14"/>
              </w:rPr>
              <w:t>Performance and scale</w:t>
            </w:r>
          </w:p>
        </w:tc>
        <w:tc>
          <w:tcPr>
            <w:tcW w:type="dxa" w:w="1008"/>
            <w:vAlign w:val="top"/>
          </w:tcPr>
          <w:p>
            <w:r/>
            <w:r>
              <w:rPr>
                <w:b w:val="0"/>
                <w:sz w:val="14"/>
              </w:rPr>
              <w:t>Medium</w:t>
            </w:r>
          </w:p>
        </w:tc>
        <w:tc>
          <w:tcPr>
            <w:tcW w:type="dxa" w:w="2880"/>
            <w:vAlign w:val="top"/>
          </w:tcPr>
          <w:p>
            <w:r/>
            <w:r>
              <w:rPr>
                <w:b w:val="0"/>
                <w:sz w:val="14"/>
              </w:rPr>
              <w:t>Backlog import needs streaming.</w:t>
            </w:r>
          </w:p>
        </w:tc>
        <w:tc>
          <w:tcPr>
            <w:tcW w:type="dxa" w:w="4320"/>
            <w:vAlign w:val="top"/>
          </w:tcPr>
          <w:p>
            <w:r/>
            <w:r>
              <w:rPr>
                <w:b w:val="0"/>
                <w:sz w:val="14"/>
              </w:rPr>
              <w:t>Avoid loading huge JSON arrays fully into memory. Stream records and commit in batches.</w:t>
            </w:r>
          </w:p>
        </w:tc>
      </w:tr>
      <w:tr>
        <w:tc>
          <w:tcPr>
            <w:tcW w:type="dxa" w:w="504"/>
            <w:vAlign w:val="top"/>
          </w:tcPr>
          <w:p>
            <w:r/>
            <w:r>
              <w:rPr>
                <w:b w:val="0"/>
                <w:sz w:val="14"/>
              </w:rPr>
              <w:t>114</w:t>
            </w:r>
          </w:p>
        </w:tc>
        <w:tc>
          <w:tcPr>
            <w:tcW w:type="dxa" w:w="1944"/>
            <w:vAlign w:val="top"/>
          </w:tcPr>
          <w:p>
            <w:r/>
            <w:r>
              <w:rPr>
                <w:b w:val="0"/>
                <w:sz w:val="14"/>
              </w:rPr>
              <w:t>Performance and scale</w:t>
            </w:r>
          </w:p>
        </w:tc>
        <w:tc>
          <w:tcPr>
            <w:tcW w:type="dxa" w:w="1008"/>
            <w:vAlign w:val="top"/>
          </w:tcPr>
          <w:p>
            <w:r/>
            <w:r>
              <w:rPr>
                <w:b w:val="0"/>
                <w:sz w:val="14"/>
              </w:rPr>
              <w:t>Medium</w:t>
            </w:r>
          </w:p>
        </w:tc>
        <w:tc>
          <w:tcPr>
            <w:tcW w:type="dxa" w:w="2880"/>
            <w:vAlign w:val="top"/>
          </w:tcPr>
          <w:p>
            <w:r/>
            <w:r>
              <w:rPr>
                <w:b w:val="0"/>
                <w:sz w:val="14"/>
              </w:rPr>
              <w:t>No indexing strategy is documented.</w:t>
            </w:r>
          </w:p>
        </w:tc>
        <w:tc>
          <w:tcPr>
            <w:tcW w:type="dxa" w:w="4320"/>
            <w:vAlign w:val="top"/>
          </w:tcPr>
          <w:p>
            <w:r/>
            <w:r>
              <w:rPr>
                <w:b w:val="0"/>
                <w:sz w:val="14"/>
              </w:rPr>
              <w:t>Add and test indexes for case status, grouping key, received_at, review status, follow-up deadline, entity aliases, and pattern flags.</w:t>
            </w:r>
          </w:p>
        </w:tc>
      </w:tr>
      <w:tr>
        <w:tc>
          <w:tcPr>
            <w:tcW w:type="dxa" w:w="504"/>
            <w:vAlign w:val="top"/>
          </w:tcPr>
          <w:p>
            <w:r/>
            <w:r>
              <w:rPr>
                <w:b w:val="0"/>
                <w:sz w:val="14"/>
              </w:rPr>
              <w:t>115</w:t>
            </w:r>
          </w:p>
        </w:tc>
        <w:tc>
          <w:tcPr>
            <w:tcW w:type="dxa" w:w="1944"/>
            <w:vAlign w:val="top"/>
          </w:tcPr>
          <w:p>
            <w:r/>
            <w:r>
              <w:rPr>
                <w:b w:val="0"/>
                <w:sz w:val="14"/>
              </w:rPr>
              <w:t>Performance and scale</w:t>
            </w:r>
          </w:p>
        </w:tc>
        <w:tc>
          <w:tcPr>
            <w:tcW w:type="dxa" w:w="1008"/>
            <w:vAlign w:val="top"/>
          </w:tcPr>
          <w:p>
            <w:r/>
            <w:r>
              <w:rPr>
                <w:b w:val="0"/>
                <w:sz w:val="14"/>
              </w:rPr>
              <w:t>Medium</w:t>
            </w:r>
          </w:p>
        </w:tc>
        <w:tc>
          <w:tcPr>
            <w:tcW w:type="dxa" w:w="2880"/>
            <w:vAlign w:val="top"/>
          </w:tcPr>
          <w:p>
            <w:r/>
            <w:r>
              <w:rPr>
                <w:b w:val="0"/>
                <w:sz w:val="14"/>
              </w:rPr>
              <w:t>No batch parser optimization.</w:t>
            </w:r>
          </w:p>
        </w:tc>
        <w:tc>
          <w:tcPr>
            <w:tcW w:type="dxa" w:w="4320"/>
            <w:vAlign w:val="top"/>
          </w:tcPr>
          <w:p>
            <w:r/>
            <w:r>
              <w:rPr>
                <w:b w:val="0"/>
                <w:sz w:val="14"/>
              </w:rPr>
              <w:t>Group similar backlog emails so parser improvements can be applied once and re-run efficiently.</w:t>
            </w:r>
          </w:p>
        </w:tc>
      </w:tr>
      <w:tr>
        <w:tc>
          <w:tcPr>
            <w:tcW w:type="dxa" w:w="504"/>
            <w:vAlign w:val="top"/>
          </w:tcPr>
          <w:p>
            <w:r/>
            <w:r>
              <w:rPr>
                <w:b w:val="0"/>
                <w:sz w:val="14"/>
              </w:rPr>
              <w:t>116</w:t>
            </w:r>
          </w:p>
        </w:tc>
        <w:tc>
          <w:tcPr>
            <w:tcW w:type="dxa" w:w="1944"/>
            <w:vAlign w:val="top"/>
          </w:tcPr>
          <w:p>
            <w:r/>
            <w:r>
              <w:rPr>
                <w:b w:val="0"/>
                <w:sz w:val="14"/>
              </w:rPr>
              <w:t>UI and user experience</w:t>
            </w:r>
          </w:p>
        </w:tc>
        <w:tc>
          <w:tcPr>
            <w:tcW w:type="dxa" w:w="1008"/>
            <w:vAlign w:val="top"/>
          </w:tcPr>
          <w:p>
            <w:r/>
            <w:r>
              <w:rPr>
                <w:b w:val="0"/>
                <w:sz w:val="14"/>
              </w:rPr>
              <w:t>Blocker</w:t>
            </w:r>
          </w:p>
        </w:tc>
        <w:tc>
          <w:tcPr>
            <w:tcW w:type="dxa" w:w="2880"/>
            <w:vAlign w:val="top"/>
          </w:tcPr>
          <w:p>
            <w:r/>
            <w:r>
              <w:rPr>
                <w:b w:val="0"/>
                <w:sz w:val="14"/>
              </w:rPr>
              <w:t>The UI source was not included, so it cannot be audited directly.</w:t>
            </w:r>
          </w:p>
        </w:tc>
        <w:tc>
          <w:tcPr>
            <w:tcW w:type="dxa" w:w="4320"/>
            <w:vAlign w:val="top"/>
          </w:tcPr>
          <w:p>
            <w:r/>
            <w:r>
              <w:rPr>
                <w:b w:val="0"/>
                <w:sz w:val="14"/>
              </w:rPr>
              <w:t>Before relying on it, review authentication, authorization, form validation, CSRF, state transitions, and audit logging.</w:t>
            </w:r>
          </w:p>
        </w:tc>
      </w:tr>
      <w:tr>
        <w:tc>
          <w:tcPr>
            <w:tcW w:type="dxa" w:w="504"/>
            <w:vAlign w:val="top"/>
          </w:tcPr>
          <w:p>
            <w:r/>
            <w:r>
              <w:rPr>
                <w:b w:val="0"/>
                <w:sz w:val="14"/>
              </w:rPr>
              <w:t>117</w:t>
            </w:r>
          </w:p>
        </w:tc>
        <w:tc>
          <w:tcPr>
            <w:tcW w:type="dxa" w:w="1944"/>
            <w:vAlign w:val="top"/>
          </w:tcPr>
          <w:p>
            <w:r/>
            <w:r>
              <w:rPr>
                <w:b w:val="0"/>
                <w:sz w:val="14"/>
              </w:rPr>
              <w:t>UI and user experience</w:t>
            </w:r>
          </w:p>
        </w:tc>
        <w:tc>
          <w:tcPr>
            <w:tcW w:type="dxa" w:w="1008"/>
            <w:vAlign w:val="top"/>
          </w:tcPr>
          <w:p>
            <w:r/>
            <w:r>
              <w:rPr>
                <w:b w:val="0"/>
                <w:sz w:val="14"/>
              </w:rPr>
              <w:t>High</w:t>
            </w:r>
          </w:p>
        </w:tc>
        <w:tc>
          <w:tcPr>
            <w:tcW w:type="dxa" w:w="2880"/>
            <w:vAlign w:val="top"/>
          </w:tcPr>
          <w:p>
            <w:r/>
            <w:r>
              <w:rPr>
                <w:b w:val="0"/>
                <w:sz w:val="14"/>
              </w:rPr>
              <w:t>Review UI needs decision support.</w:t>
            </w:r>
          </w:p>
        </w:tc>
        <w:tc>
          <w:tcPr>
            <w:tcW w:type="dxa" w:w="4320"/>
            <w:vAlign w:val="top"/>
          </w:tcPr>
          <w:p>
            <w:r/>
            <w:r>
              <w:rPr>
                <w:b w:val="0"/>
                <w:sz w:val="14"/>
              </w:rPr>
              <w:t>Show raw email, parsed fields, confidence, missing fields, parser reason, similar cases, aliases, contact candidates, and suggested actions in one place.</w:t>
            </w:r>
          </w:p>
        </w:tc>
      </w:tr>
      <w:tr>
        <w:tc>
          <w:tcPr>
            <w:tcW w:type="dxa" w:w="504"/>
            <w:vAlign w:val="top"/>
          </w:tcPr>
          <w:p>
            <w:r/>
            <w:r>
              <w:rPr>
                <w:b w:val="0"/>
                <w:sz w:val="14"/>
              </w:rPr>
              <w:t>118</w:t>
            </w:r>
          </w:p>
        </w:tc>
        <w:tc>
          <w:tcPr>
            <w:tcW w:type="dxa" w:w="1944"/>
            <w:vAlign w:val="top"/>
          </w:tcPr>
          <w:p>
            <w:r/>
            <w:r>
              <w:rPr>
                <w:b w:val="0"/>
                <w:sz w:val="14"/>
              </w:rPr>
              <w:t>UI and user experience</w:t>
            </w:r>
          </w:p>
        </w:tc>
        <w:tc>
          <w:tcPr>
            <w:tcW w:type="dxa" w:w="1008"/>
            <w:vAlign w:val="top"/>
          </w:tcPr>
          <w:p>
            <w:r/>
            <w:r>
              <w:rPr>
                <w:b w:val="0"/>
                <w:sz w:val="14"/>
              </w:rPr>
              <w:t>High</w:t>
            </w:r>
          </w:p>
        </w:tc>
        <w:tc>
          <w:tcPr>
            <w:tcW w:type="dxa" w:w="2880"/>
            <w:vAlign w:val="top"/>
          </w:tcPr>
          <w:p>
            <w:r/>
            <w:r>
              <w:rPr>
                <w:b w:val="0"/>
                <w:sz w:val="14"/>
              </w:rPr>
              <w:t>Bulk operations are necessary.</w:t>
            </w:r>
          </w:p>
        </w:tc>
        <w:tc>
          <w:tcPr>
            <w:tcW w:type="dxa" w:w="4320"/>
            <w:vAlign w:val="top"/>
          </w:tcPr>
          <w:p>
            <w:r/>
            <w:r>
              <w:rPr>
                <w:b w:val="0"/>
                <w:sz w:val="14"/>
              </w:rPr>
              <w:t>Users need batch classify, batch reject, batch alias, batch merge, and batch close proposals, especially after backlog import.</w:t>
            </w:r>
          </w:p>
        </w:tc>
      </w:tr>
      <w:tr>
        <w:tc>
          <w:tcPr>
            <w:tcW w:type="dxa" w:w="504"/>
            <w:vAlign w:val="top"/>
          </w:tcPr>
          <w:p>
            <w:r/>
            <w:r>
              <w:rPr>
                <w:b w:val="0"/>
                <w:sz w:val="14"/>
              </w:rPr>
              <w:t>119</w:t>
            </w:r>
          </w:p>
        </w:tc>
        <w:tc>
          <w:tcPr>
            <w:tcW w:type="dxa" w:w="1944"/>
            <w:vAlign w:val="top"/>
          </w:tcPr>
          <w:p>
            <w:r/>
            <w:r>
              <w:rPr>
                <w:b w:val="0"/>
                <w:sz w:val="14"/>
              </w:rPr>
              <w:t>UI and user experience</w:t>
            </w:r>
          </w:p>
        </w:tc>
        <w:tc>
          <w:tcPr>
            <w:tcW w:type="dxa" w:w="1008"/>
            <w:vAlign w:val="top"/>
          </w:tcPr>
          <w:p>
            <w:r/>
            <w:r>
              <w:rPr>
                <w:b w:val="0"/>
                <w:sz w:val="14"/>
              </w:rPr>
              <w:t>Medium</w:t>
            </w:r>
          </w:p>
        </w:tc>
        <w:tc>
          <w:tcPr>
            <w:tcW w:type="dxa" w:w="2880"/>
            <w:vAlign w:val="top"/>
          </w:tcPr>
          <w:p>
            <w:r/>
            <w:r>
              <w:rPr>
                <w:b w:val="0"/>
                <w:sz w:val="14"/>
              </w:rPr>
              <w:t>Case timeline needs clarity.</w:t>
            </w:r>
          </w:p>
        </w:tc>
        <w:tc>
          <w:tcPr>
            <w:tcW w:type="dxa" w:w="4320"/>
            <w:vAlign w:val="top"/>
          </w:tcPr>
          <w:p>
            <w:r/>
            <w:r>
              <w:rPr>
                <w:b w:val="0"/>
                <w:sz w:val="14"/>
              </w:rPr>
              <w:t>Use chronological events, outbound messages, replies, field changes, memory flags, and review decisions as one narrative.</w:t>
            </w:r>
          </w:p>
        </w:tc>
      </w:tr>
      <w:tr>
        <w:tc>
          <w:tcPr>
            <w:tcW w:type="dxa" w:w="504"/>
            <w:vAlign w:val="top"/>
          </w:tcPr>
          <w:p>
            <w:r/>
            <w:r>
              <w:rPr>
                <w:b w:val="0"/>
                <w:sz w:val="14"/>
              </w:rPr>
              <w:t>120</w:t>
            </w:r>
          </w:p>
        </w:tc>
        <w:tc>
          <w:tcPr>
            <w:tcW w:type="dxa" w:w="1944"/>
            <w:vAlign w:val="top"/>
          </w:tcPr>
          <w:p>
            <w:r/>
            <w:r>
              <w:rPr>
                <w:b w:val="0"/>
                <w:sz w:val="14"/>
              </w:rPr>
              <w:t>UI and user experience</w:t>
            </w:r>
          </w:p>
        </w:tc>
        <w:tc>
          <w:tcPr>
            <w:tcW w:type="dxa" w:w="1008"/>
            <w:vAlign w:val="top"/>
          </w:tcPr>
          <w:p>
            <w:r/>
            <w:r>
              <w:rPr>
                <w:b w:val="0"/>
                <w:sz w:val="14"/>
              </w:rPr>
              <w:t>Medium</w:t>
            </w:r>
          </w:p>
        </w:tc>
        <w:tc>
          <w:tcPr>
            <w:tcW w:type="dxa" w:w="2880"/>
            <w:vAlign w:val="top"/>
          </w:tcPr>
          <w:p>
            <w:r/>
            <w:r>
              <w:rPr>
                <w:b w:val="0"/>
                <w:sz w:val="14"/>
              </w:rPr>
              <w:t>No explainability controls.</w:t>
            </w:r>
          </w:p>
        </w:tc>
        <w:tc>
          <w:tcPr>
            <w:tcW w:type="dxa" w:w="4320"/>
            <w:vAlign w:val="top"/>
          </w:tcPr>
          <w:p>
            <w:r/>
            <w:r>
              <w:rPr>
                <w:b w:val="0"/>
                <w:sz w:val="14"/>
              </w:rPr>
              <w:t>Show why a case was classified, why a field was extracted, why a grouping key was chosen, and why a follow-up is due.</w:t>
            </w:r>
          </w:p>
        </w:tc>
      </w:tr>
      <w:tr>
        <w:tc>
          <w:tcPr>
            <w:tcW w:type="dxa" w:w="504"/>
            <w:vAlign w:val="top"/>
          </w:tcPr>
          <w:p>
            <w:r/>
            <w:r>
              <w:rPr>
                <w:b w:val="0"/>
                <w:sz w:val="14"/>
              </w:rPr>
              <w:t>121</w:t>
            </w:r>
          </w:p>
        </w:tc>
        <w:tc>
          <w:tcPr>
            <w:tcW w:type="dxa" w:w="1944"/>
            <w:vAlign w:val="top"/>
          </w:tcPr>
          <w:p>
            <w:r/>
            <w:r>
              <w:rPr>
                <w:b w:val="0"/>
                <w:sz w:val="14"/>
              </w:rPr>
              <w:t>UI and user experience</w:t>
            </w:r>
          </w:p>
        </w:tc>
        <w:tc>
          <w:tcPr>
            <w:tcW w:type="dxa" w:w="1008"/>
            <w:vAlign w:val="top"/>
          </w:tcPr>
          <w:p>
            <w:r/>
            <w:r>
              <w:rPr>
                <w:b w:val="0"/>
                <w:sz w:val="14"/>
              </w:rPr>
              <w:t>Medium</w:t>
            </w:r>
          </w:p>
        </w:tc>
        <w:tc>
          <w:tcPr>
            <w:tcW w:type="dxa" w:w="2880"/>
            <w:vAlign w:val="top"/>
          </w:tcPr>
          <w:p>
            <w:r/>
            <w:r>
              <w:rPr>
                <w:b w:val="0"/>
                <w:sz w:val="14"/>
              </w:rPr>
              <w:t>No admin policy editor.</w:t>
            </w:r>
          </w:p>
        </w:tc>
        <w:tc>
          <w:tcPr>
            <w:tcW w:type="dxa" w:w="4320"/>
            <w:vAlign w:val="top"/>
          </w:tcPr>
          <w:p>
            <w:r/>
            <w:r>
              <w:rPr>
                <w:b w:val="0"/>
                <w:sz w:val="14"/>
              </w:rPr>
              <w:t>Eventually add a safe editor for taxonomy, aliases, routing, templates, and escalation policy with validation and preview.</w:t>
            </w:r>
          </w:p>
        </w:tc>
      </w:tr>
      <w:tr>
        <w:tc>
          <w:tcPr>
            <w:tcW w:type="dxa" w:w="504"/>
            <w:vAlign w:val="top"/>
          </w:tcPr>
          <w:p>
            <w:r/>
            <w:r>
              <w:rPr>
                <w:b w:val="0"/>
                <w:sz w:val="14"/>
              </w:rPr>
              <w:t>122</w:t>
            </w:r>
          </w:p>
        </w:tc>
        <w:tc>
          <w:tcPr>
            <w:tcW w:type="dxa" w:w="1944"/>
            <w:vAlign w:val="top"/>
          </w:tcPr>
          <w:p>
            <w:r/>
            <w:r>
              <w:rPr>
                <w:b w:val="0"/>
                <w:sz w:val="14"/>
              </w:rPr>
              <w:t>DevOps and deployment</w:t>
            </w:r>
          </w:p>
        </w:tc>
        <w:tc>
          <w:tcPr>
            <w:tcW w:type="dxa" w:w="1008"/>
            <w:vAlign w:val="top"/>
          </w:tcPr>
          <w:p>
            <w:r/>
            <w:r>
              <w:rPr>
                <w:b w:val="0"/>
                <w:sz w:val="14"/>
              </w:rPr>
              <w:t>Blocker</w:t>
            </w:r>
          </w:p>
        </w:tc>
        <w:tc>
          <w:tcPr>
            <w:tcW w:type="dxa" w:w="2880"/>
            <w:vAlign w:val="top"/>
          </w:tcPr>
          <w:p>
            <w:r/>
            <w:r>
              <w:rPr>
                <w:b w:val="0"/>
                <w:sz w:val="14"/>
              </w:rPr>
              <w:t>No production deployment plan.</w:t>
            </w:r>
          </w:p>
        </w:tc>
        <w:tc>
          <w:tcPr>
            <w:tcW w:type="dxa" w:w="4320"/>
            <w:vAlign w:val="top"/>
          </w:tcPr>
          <w:p>
            <w:r/>
            <w:r>
              <w:rPr>
                <w:b w:val="0"/>
                <w:sz w:val="14"/>
              </w:rPr>
              <w:t>Define containerization, environment configuration, database provisioning, backups, monitoring, secrets, domain/DNS, and rollback.</w:t>
            </w:r>
          </w:p>
        </w:tc>
      </w:tr>
      <w:tr>
        <w:tc>
          <w:tcPr>
            <w:tcW w:type="dxa" w:w="504"/>
            <w:vAlign w:val="top"/>
          </w:tcPr>
          <w:p>
            <w:r/>
            <w:r>
              <w:rPr>
                <w:b w:val="0"/>
                <w:sz w:val="14"/>
              </w:rPr>
              <w:t>123</w:t>
            </w:r>
          </w:p>
        </w:tc>
        <w:tc>
          <w:tcPr>
            <w:tcW w:type="dxa" w:w="1944"/>
            <w:vAlign w:val="top"/>
          </w:tcPr>
          <w:p>
            <w:r/>
            <w:r>
              <w:rPr>
                <w:b w:val="0"/>
                <w:sz w:val="14"/>
              </w:rPr>
              <w:t>DevOps and deployment</w:t>
            </w:r>
          </w:p>
        </w:tc>
        <w:tc>
          <w:tcPr>
            <w:tcW w:type="dxa" w:w="1008"/>
            <w:vAlign w:val="top"/>
          </w:tcPr>
          <w:p>
            <w:r/>
            <w:r>
              <w:rPr>
                <w:b w:val="0"/>
                <w:sz w:val="14"/>
              </w:rPr>
              <w:t>High</w:t>
            </w:r>
          </w:p>
        </w:tc>
        <w:tc>
          <w:tcPr>
            <w:tcW w:type="dxa" w:w="2880"/>
            <w:vAlign w:val="top"/>
          </w:tcPr>
          <w:p>
            <w:r/>
            <w:r>
              <w:rPr>
                <w:b w:val="0"/>
                <w:sz w:val="14"/>
              </w:rPr>
              <w:t>No CI/CD expectations.</w:t>
            </w:r>
          </w:p>
        </w:tc>
        <w:tc>
          <w:tcPr>
            <w:tcW w:type="dxa" w:w="4320"/>
            <w:vAlign w:val="top"/>
          </w:tcPr>
          <w:p>
            <w:r/>
            <w:r>
              <w:rPr>
                <w:b w:val="0"/>
                <w:sz w:val="14"/>
              </w:rPr>
              <w:t>Run lint, type check, unit tests, parser regression tests, security scans, and doc generation in CI.</w:t>
            </w:r>
          </w:p>
        </w:tc>
      </w:tr>
      <w:tr>
        <w:tc>
          <w:tcPr>
            <w:tcW w:type="dxa" w:w="504"/>
            <w:vAlign w:val="top"/>
          </w:tcPr>
          <w:p>
            <w:r/>
            <w:r>
              <w:rPr>
                <w:b w:val="0"/>
                <w:sz w:val="14"/>
              </w:rPr>
              <w:t>124</w:t>
            </w:r>
          </w:p>
        </w:tc>
        <w:tc>
          <w:tcPr>
            <w:tcW w:type="dxa" w:w="1944"/>
            <w:vAlign w:val="top"/>
          </w:tcPr>
          <w:p>
            <w:r/>
            <w:r>
              <w:rPr>
                <w:b w:val="0"/>
                <w:sz w:val="14"/>
              </w:rPr>
              <w:t>DevOps and deployment</w:t>
            </w:r>
          </w:p>
        </w:tc>
        <w:tc>
          <w:tcPr>
            <w:tcW w:type="dxa" w:w="1008"/>
            <w:vAlign w:val="top"/>
          </w:tcPr>
          <w:p>
            <w:r/>
            <w:r>
              <w:rPr>
                <w:b w:val="0"/>
                <w:sz w:val="14"/>
              </w:rPr>
              <w:t>High</w:t>
            </w:r>
          </w:p>
        </w:tc>
        <w:tc>
          <w:tcPr>
            <w:tcW w:type="dxa" w:w="2880"/>
            <w:vAlign w:val="top"/>
          </w:tcPr>
          <w:p>
            <w:r/>
            <w:r>
              <w:rPr>
                <w:b w:val="0"/>
                <w:sz w:val="14"/>
              </w:rPr>
              <w:t>No backup and restore runbook.</w:t>
            </w:r>
          </w:p>
        </w:tc>
        <w:tc>
          <w:tcPr>
            <w:tcW w:type="dxa" w:w="4320"/>
            <w:vAlign w:val="top"/>
          </w:tcPr>
          <w:p>
            <w:r/>
            <w:r>
              <w:rPr>
                <w:b w:val="0"/>
                <w:sz w:val="14"/>
              </w:rPr>
              <w:t>Production case data, emails, outbound logs, and memory state need tested backups and restore drills.</w:t>
            </w:r>
          </w:p>
        </w:tc>
      </w:tr>
      <w:tr>
        <w:tc>
          <w:tcPr>
            <w:tcW w:type="dxa" w:w="504"/>
            <w:vAlign w:val="top"/>
          </w:tcPr>
          <w:p>
            <w:r/>
            <w:r>
              <w:rPr>
                <w:b w:val="0"/>
                <w:sz w:val="14"/>
              </w:rPr>
              <w:t>125</w:t>
            </w:r>
          </w:p>
        </w:tc>
        <w:tc>
          <w:tcPr>
            <w:tcW w:type="dxa" w:w="1944"/>
            <w:vAlign w:val="top"/>
          </w:tcPr>
          <w:p>
            <w:r/>
            <w:r>
              <w:rPr>
                <w:b w:val="0"/>
                <w:sz w:val="14"/>
              </w:rPr>
              <w:t>DevOps and deployment</w:t>
            </w:r>
          </w:p>
        </w:tc>
        <w:tc>
          <w:tcPr>
            <w:tcW w:type="dxa" w:w="1008"/>
            <w:vAlign w:val="top"/>
          </w:tcPr>
          <w:p>
            <w:r/>
            <w:r>
              <w:rPr>
                <w:b w:val="0"/>
                <w:sz w:val="14"/>
              </w:rPr>
              <w:t>Medium</w:t>
            </w:r>
          </w:p>
        </w:tc>
        <w:tc>
          <w:tcPr>
            <w:tcW w:type="dxa" w:w="2880"/>
            <w:vAlign w:val="top"/>
          </w:tcPr>
          <w:p>
            <w:r/>
            <w:r>
              <w:rPr>
                <w:b w:val="0"/>
                <w:sz w:val="14"/>
              </w:rPr>
              <w:t>No environment separation.</w:t>
            </w:r>
          </w:p>
        </w:tc>
        <w:tc>
          <w:tcPr>
            <w:tcW w:type="dxa" w:w="4320"/>
            <w:vAlign w:val="top"/>
          </w:tcPr>
          <w:p>
            <w:r/>
            <w:r>
              <w:rPr>
                <w:b w:val="0"/>
                <w:sz w:val="14"/>
              </w:rPr>
              <w:t>Use dev, staging, demo, and production configs with hard barriers to prevent demo/test sends from crossing environments.</w:t>
            </w:r>
          </w:p>
        </w:tc>
      </w:tr>
      <w:tr>
        <w:tc>
          <w:tcPr>
            <w:tcW w:type="dxa" w:w="504"/>
            <w:vAlign w:val="top"/>
          </w:tcPr>
          <w:p>
            <w:r/>
            <w:r>
              <w:rPr>
                <w:b w:val="0"/>
                <w:sz w:val="14"/>
              </w:rPr>
              <w:t>126</w:t>
            </w:r>
          </w:p>
        </w:tc>
        <w:tc>
          <w:tcPr>
            <w:tcW w:type="dxa" w:w="1944"/>
            <w:vAlign w:val="top"/>
          </w:tcPr>
          <w:p>
            <w:r/>
            <w:r>
              <w:rPr>
                <w:b w:val="0"/>
                <w:sz w:val="14"/>
              </w:rPr>
              <w:t>DevOps and deployment</w:t>
            </w:r>
          </w:p>
        </w:tc>
        <w:tc>
          <w:tcPr>
            <w:tcW w:type="dxa" w:w="1008"/>
            <w:vAlign w:val="top"/>
          </w:tcPr>
          <w:p>
            <w:r/>
            <w:r>
              <w:rPr>
                <w:b w:val="0"/>
                <w:sz w:val="14"/>
              </w:rPr>
              <w:t>Medium</w:t>
            </w:r>
          </w:p>
        </w:tc>
        <w:tc>
          <w:tcPr>
            <w:tcW w:type="dxa" w:w="2880"/>
            <w:vAlign w:val="top"/>
          </w:tcPr>
          <w:p>
            <w:r/>
            <w:r>
              <w:rPr>
                <w:b w:val="0"/>
                <w:sz w:val="14"/>
              </w:rPr>
              <w:t>No release notes or changelog.</w:t>
            </w:r>
          </w:p>
        </w:tc>
        <w:tc>
          <w:tcPr>
            <w:tcW w:type="dxa" w:w="4320"/>
            <w:vAlign w:val="top"/>
          </w:tcPr>
          <w:p>
            <w:r/>
            <w:r>
              <w:rPr>
                <w:b w:val="0"/>
                <w:sz w:val="14"/>
              </w:rPr>
              <w:t>Every taxonomy and parser change should produce a release note and expected behavior impact.</w:t>
            </w:r>
          </w:p>
        </w:tc>
      </w:tr>
      <w:tr>
        <w:tc>
          <w:tcPr>
            <w:tcW w:type="dxa" w:w="504"/>
            <w:vAlign w:val="top"/>
          </w:tcPr>
          <w:p>
            <w:r/>
            <w:r>
              <w:rPr>
                <w:b w:val="0"/>
                <w:sz w:val="14"/>
              </w:rPr>
              <w:t>127</w:t>
            </w:r>
          </w:p>
        </w:tc>
        <w:tc>
          <w:tcPr>
            <w:tcW w:type="dxa" w:w="1944"/>
            <w:vAlign w:val="top"/>
          </w:tcPr>
          <w:p>
            <w:r/>
            <w:r>
              <w:rPr>
                <w:b w:val="0"/>
                <w:sz w:val="14"/>
              </w:rPr>
              <w:t>Code quality and maintainability</w:t>
            </w:r>
          </w:p>
        </w:tc>
        <w:tc>
          <w:tcPr>
            <w:tcW w:type="dxa" w:w="1008"/>
            <w:vAlign w:val="top"/>
          </w:tcPr>
          <w:p>
            <w:r/>
            <w:r>
              <w:rPr>
                <w:b w:val="0"/>
                <w:sz w:val="14"/>
              </w:rPr>
              <w:t>High</w:t>
            </w:r>
          </w:p>
        </w:tc>
        <w:tc>
          <w:tcPr>
            <w:tcW w:type="dxa" w:w="2880"/>
            <w:vAlign w:val="top"/>
          </w:tcPr>
          <w:p>
            <w:r/>
            <w:r>
              <w:rPr>
                <w:b w:val="0"/>
                <w:sz w:val="14"/>
              </w:rPr>
              <w:t>There are small code smells that should be cleaned now.</w:t>
            </w:r>
          </w:p>
        </w:tc>
        <w:tc>
          <w:tcPr>
            <w:tcW w:type="dxa" w:w="4320"/>
            <w:vAlign w:val="top"/>
          </w:tcPr>
          <w:p>
            <w:r/>
            <w:r>
              <w:rPr>
                <w:b w:val="0"/>
                <w:sz w:val="14"/>
              </w:rPr>
              <w:t>Examples include duplicated device assignment in case creation and duplicated model_name in the AI report. Small sloppiness compounds fast.</w:t>
            </w:r>
          </w:p>
        </w:tc>
      </w:tr>
      <w:tr>
        <w:tc>
          <w:tcPr>
            <w:tcW w:type="dxa" w:w="504"/>
            <w:vAlign w:val="top"/>
          </w:tcPr>
          <w:p>
            <w:r/>
            <w:r>
              <w:rPr>
                <w:b w:val="0"/>
                <w:sz w:val="14"/>
              </w:rPr>
              <w:t>128</w:t>
            </w:r>
          </w:p>
        </w:tc>
        <w:tc>
          <w:tcPr>
            <w:tcW w:type="dxa" w:w="1944"/>
            <w:vAlign w:val="top"/>
          </w:tcPr>
          <w:p>
            <w:r/>
            <w:r>
              <w:rPr>
                <w:b w:val="0"/>
                <w:sz w:val="14"/>
              </w:rPr>
              <w:t>Code quality and maintainability</w:t>
            </w:r>
          </w:p>
        </w:tc>
        <w:tc>
          <w:tcPr>
            <w:tcW w:type="dxa" w:w="1008"/>
            <w:vAlign w:val="top"/>
          </w:tcPr>
          <w:p>
            <w:r/>
            <w:r>
              <w:rPr>
                <w:b w:val="0"/>
                <w:sz w:val="14"/>
              </w:rPr>
              <w:t>High</w:t>
            </w:r>
          </w:p>
        </w:tc>
        <w:tc>
          <w:tcPr>
            <w:tcW w:type="dxa" w:w="2880"/>
            <w:vAlign w:val="top"/>
          </w:tcPr>
          <w:p>
            <w:r/>
            <w:r>
              <w:rPr>
                <w:b w:val="0"/>
                <w:sz w:val="14"/>
              </w:rPr>
              <w:t>Private extractor functions are imported by backlog_loader.</w:t>
            </w:r>
          </w:p>
        </w:tc>
        <w:tc>
          <w:tcPr>
            <w:tcW w:type="dxa" w:w="4320"/>
            <w:vAlign w:val="top"/>
          </w:tcPr>
          <w:p>
            <w:r/>
            <w:r>
              <w:rPr>
                <w:b w:val="0"/>
                <w:sz w:val="14"/>
              </w:rPr>
              <w:t>Promote shared parser helpers to a public module or service. Do not couple importer internals to private extractor functions.</w:t>
            </w:r>
          </w:p>
        </w:tc>
      </w:tr>
      <w:tr>
        <w:tc>
          <w:tcPr>
            <w:tcW w:type="dxa" w:w="504"/>
            <w:vAlign w:val="top"/>
          </w:tcPr>
          <w:p>
            <w:r/>
            <w:r>
              <w:rPr>
                <w:b w:val="0"/>
                <w:sz w:val="14"/>
              </w:rPr>
              <w:t>129</w:t>
            </w:r>
          </w:p>
        </w:tc>
        <w:tc>
          <w:tcPr>
            <w:tcW w:type="dxa" w:w="1944"/>
            <w:vAlign w:val="top"/>
          </w:tcPr>
          <w:p>
            <w:r/>
            <w:r>
              <w:rPr>
                <w:b w:val="0"/>
                <w:sz w:val="14"/>
              </w:rPr>
              <w:t>Code quality and maintainability</w:t>
            </w:r>
          </w:p>
        </w:tc>
        <w:tc>
          <w:tcPr>
            <w:tcW w:type="dxa" w:w="1008"/>
            <w:vAlign w:val="top"/>
          </w:tcPr>
          <w:p>
            <w:r/>
            <w:r>
              <w:rPr>
                <w:b w:val="0"/>
                <w:sz w:val="14"/>
              </w:rPr>
              <w:t>High</w:t>
            </w:r>
          </w:p>
        </w:tc>
        <w:tc>
          <w:tcPr>
            <w:tcW w:type="dxa" w:w="2880"/>
            <w:vAlign w:val="top"/>
          </w:tcPr>
          <w:p>
            <w:r/>
            <w:r>
              <w:rPr>
                <w:b w:val="0"/>
                <w:sz w:val="14"/>
              </w:rPr>
              <w:t>Constants are scattered.</w:t>
            </w:r>
          </w:p>
        </w:tc>
        <w:tc>
          <w:tcPr>
            <w:tcW w:type="dxa" w:w="4320"/>
            <w:vAlign w:val="top"/>
          </w:tcPr>
          <w:p>
            <w:r/>
            <w:r>
              <w:rPr>
                <w:b w:val="0"/>
                <w:sz w:val="14"/>
              </w:rPr>
              <w:t>Centralize case types, fields, statuses, event types, review reasons, and priorities as enums or registry entries.</w:t>
            </w:r>
          </w:p>
        </w:tc>
      </w:tr>
      <w:tr>
        <w:tc>
          <w:tcPr>
            <w:tcW w:type="dxa" w:w="504"/>
            <w:vAlign w:val="top"/>
          </w:tcPr>
          <w:p>
            <w:r/>
            <w:r>
              <w:rPr>
                <w:b w:val="0"/>
                <w:sz w:val="14"/>
              </w:rPr>
              <w:t>130</w:t>
            </w:r>
          </w:p>
        </w:tc>
        <w:tc>
          <w:tcPr>
            <w:tcW w:type="dxa" w:w="1944"/>
            <w:vAlign w:val="top"/>
          </w:tcPr>
          <w:p>
            <w:r/>
            <w:r>
              <w:rPr>
                <w:b w:val="0"/>
                <w:sz w:val="14"/>
              </w:rPr>
              <w:t>Code quality and maintainability</w:t>
            </w:r>
          </w:p>
        </w:tc>
        <w:tc>
          <w:tcPr>
            <w:tcW w:type="dxa" w:w="1008"/>
            <w:vAlign w:val="top"/>
          </w:tcPr>
          <w:p>
            <w:r/>
            <w:r>
              <w:rPr>
                <w:b w:val="0"/>
                <w:sz w:val="14"/>
              </w:rPr>
              <w:t>Medium</w:t>
            </w:r>
          </w:p>
        </w:tc>
        <w:tc>
          <w:tcPr>
            <w:tcW w:type="dxa" w:w="2880"/>
            <w:vAlign w:val="top"/>
          </w:tcPr>
          <w:p>
            <w:r/>
            <w:r>
              <w:rPr>
                <w:b w:val="0"/>
                <w:sz w:val="14"/>
              </w:rPr>
              <w:t>Typing is partial.</w:t>
            </w:r>
          </w:p>
        </w:tc>
        <w:tc>
          <w:tcPr>
            <w:tcW w:type="dxa" w:w="4320"/>
            <w:vAlign w:val="top"/>
          </w:tcPr>
          <w:p>
            <w:r/>
            <w:r>
              <w:rPr>
                <w:b w:val="0"/>
                <w:sz w:val="14"/>
              </w:rPr>
              <w:t>Adopt mypy or pyright and replace loose Dict[str, Any] flows with dataclasses or Pydantic models.</w:t>
            </w:r>
          </w:p>
        </w:tc>
      </w:tr>
      <w:tr>
        <w:tc>
          <w:tcPr>
            <w:tcW w:type="dxa" w:w="504"/>
            <w:vAlign w:val="top"/>
          </w:tcPr>
          <w:p>
            <w:r/>
            <w:r>
              <w:rPr>
                <w:b w:val="0"/>
                <w:sz w:val="14"/>
              </w:rPr>
              <w:t>131</w:t>
            </w:r>
          </w:p>
        </w:tc>
        <w:tc>
          <w:tcPr>
            <w:tcW w:type="dxa" w:w="1944"/>
            <w:vAlign w:val="top"/>
          </w:tcPr>
          <w:p>
            <w:r/>
            <w:r>
              <w:rPr>
                <w:b w:val="0"/>
                <w:sz w:val="14"/>
              </w:rPr>
              <w:t>Code quality and maintainability</w:t>
            </w:r>
          </w:p>
        </w:tc>
        <w:tc>
          <w:tcPr>
            <w:tcW w:type="dxa" w:w="1008"/>
            <w:vAlign w:val="top"/>
          </w:tcPr>
          <w:p>
            <w:r/>
            <w:r>
              <w:rPr>
                <w:b w:val="0"/>
                <w:sz w:val="14"/>
              </w:rPr>
              <w:t>Medium</w:t>
            </w:r>
          </w:p>
        </w:tc>
        <w:tc>
          <w:tcPr>
            <w:tcW w:type="dxa" w:w="2880"/>
            <w:vAlign w:val="top"/>
          </w:tcPr>
          <w:p>
            <w:r/>
            <w:r>
              <w:rPr>
                <w:b w:val="0"/>
                <w:sz w:val="14"/>
              </w:rPr>
              <w:t>Logging is not structured.</w:t>
            </w:r>
          </w:p>
        </w:tc>
        <w:tc>
          <w:tcPr>
            <w:tcW w:type="dxa" w:w="4320"/>
            <w:vAlign w:val="top"/>
          </w:tcPr>
          <w:p>
            <w:r/>
            <w:r>
              <w:rPr>
                <w:b w:val="0"/>
                <w:sz w:val="14"/>
              </w:rPr>
              <w:t>Replace print statements with configured logging and structured context.</w:t>
            </w:r>
          </w:p>
        </w:tc>
      </w:tr>
      <w:tr>
        <w:tc>
          <w:tcPr>
            <w:tcW w:type="dxa" w:w="504"/>
            <w:vAlign w:val="top"/>
          </w:tcPr>
          <w:p>
            <w:r/>
            <w:r>
              <w:rPr>
                <w:b w:val="0"/>
                <w:sz w:val="14"/>
              </w:rPr>
              <w:t>132</w:t>
            </w:r>
          </w:p>
        </w:tc>
        <w:tc>
          <w:tcPr>
            <w:tcW w:type="dxa" w:w="1944"/>
            <w:vAlign w:val="top"/>
          </w:tcPr>
          <w:p>
            <w:r/>
            <w:r>
              <w:rPr>
                <w:b w:val="0"/>
                <w:sz w:val="14"/>
              </w:rPr>
              <w:t>Code quality and maintainability</w:t>
            </w:r>
          </w:p>
        </w:tc>
        <w:tc>
          <w:tcPr>
            <w:tcW w:type="dxa" w:w="1008"/>
            <w:vAlign w:val="top"/>
          </w:tcPr>
          <w:p>
            <w:r/>
            <w:r>
              <w:rPr>
                <w:b w:val="0"/>
                <w:sz w:val="14"/>
              </w:rPr>
              <w:t>Medium</w:t>
            </w:r>
          </w:p>
        </w:tc>
        <w:tc>
          <w:tcPr>
            <w:tcW w:type="dxa" w:w="2880"/>
            <w:vAlign w:val="top"/>
          </w:tcPr>
          <w:p>
            <w:r/>
            <w:r>
              <w:rPr>
                <w:b w:val="0"/>
                <w:sz w:val="14"/>
              </w:rPr>
              <w:t>No lint/format policy is visible.</w:t>
            </w:r>
          </w:p>
        </w:tc>
        <w:tc>
          <w:tcPr>
            <w:tcW w:type="dxa" w:w="4320"/>
            <w:vAlign w:val="top"/>
          </w:tcPr>
          <w:p>
            <w:r/>
            <w:r>
              <w:rPr>
                <w:b w:val="0"/>
                <w:sz w:val="14"/>
              </w:rPr>
              <w:t>Use ruff, black, isort, and pre-commit so AI-generated code stays tidy.</w:t>
            </w:r>
          </w:p>
        </w:tc>
      </w:tr>
      <w:tr>
        <w:tc>
          <w:tcPr>
            <w:tcW w:type="dxa" w:w="504"/>
            <w:vAlign w:val="top"/>
          </w:tcPr>
          <w:p>
            <w:r/>
            <w:r>
              <w:rPr>
                <w:b w:val="0"/>
                <w:sz w:val="14"/>
              </w:rPr>
              <w:t>133</w:t>
            </w:r>
          </w:p>
        </w:tc>
        <w:tc>
          <w:tcPr>
            <w:tcW w:type="dxa" w:w="1944"/>
            <w:vAlign w:val="top"/>
          </w:tcPr>
          <w:p>
            <w:r/>
            <w:r>
              <w:rPr>
                <w:b w:val="0"/>
                <w:sz w:val="14"/>
              </w:rPr>
              <w:t>Code quality and maintainability</w:t>
            </w:r>
          </w:p>
        </w:tc>
        <w:tc>
          <w:tcPr>
            <w:tcW w:type="dxa" w:w="1008"/>
            <w:vAlign w:val="top"/>
          </w:tcPr>
          <w:p>
            <w:r/>
            <w:r>
              <w:rPr>
                <w:b w:val="0"/>
                <w:sz w:val="14"/>
              </w:rPr>
              <w:t>Low</w:t>
            </w:r>
          </w:p>
        </w:tc>
        <w:tc>
          <w:tcPr>
            <w:tcW w:type="dxa" w:w="2880"/>
            <w:vAlign w:val="top"/>
          </w:tcPr>
          <w:p>
            <w:r/>
            <w:r>
              <w:rPr>
                <w:b w:val="0"/>
                <w:sz w:val="14"/>
              </w:rPr>
              <w:t>Docstrings are good but sometimes overstate production readiness.</w:t>
            </w:r>
          </w:p>
        </w:tc>
        <w:tc>
          <w:tcPr>
            <w:tcW w:type="dxa" w:w="4320"/>
            <w:vAlign w:val="top"/>
          </w:tcPr>
          <w:p>
            <w:r/>
            <w:r>
              <w:rPr>
                <w:b w:val="0"/>
                <w:sz w:val="14"/>
              </w:rPr>
              <w:t>Keep docstrings factual and distinguish demo behavior from production behavior.</w:t>
            </w:r>
          </w:p>
        </w:tc>
      </w:tr>
      <w:tr>
        <w:tc>
          <w:tcPr>
            <w:tcW w:type="dxa" w:w="504"/>
            <w:vAlign w:val="top"/>
          </w:tcPr>
          <w:p>
            <w:r/>
            <w:r>
              <w:rPr>
                <w:b w:val="0"/>
                <w:sz w:val="14"/>
              </w:rPr>
              <w:t>134</w:t>
            </w:r>
          </w:p>
        </w:tc>
        <w:tc>
          <w:tcPr>
            <w:tcW w:type="dxa" w:w="1944"/>
            <w:vAlign w:val="top"/>
          </w:tcPr>
          <w:p>
            <w:r/>
            <w:r>
              <w:rPr>
                <w:b w:val="0"/>
                <w:sz w:val="14"/>
              </w:rPr>
              <w:t>Documentation and onboarding</w:t>
            </w:r>
          </w:p>
        </w:tc>
        <w:tc>
          <w:tcPr>
            <w:tcW w:type="dxa" w:w="1008"/>
            <w:vAlign w:val="top"/>
          </w:tcPr>
          <w:p>
            <w:r/>
            <w:r>
              <w:rPr>
                <w:b w:val="0"/>
                <w:sz w:val="14"/>
              </w:rPr>
              <w:t>High</w:t>
            </w:r>
          </w:p>
        </w:tc>
        <w:tc>
          <w:tcPr>
            <w:tcW w:type="dxa" w:w="2880"/>
            <w:vAlign w:val="top"/>
          </w:tcPr>
          <w:p>
            <w:r/>
            <w:r>
              <w:rPr>
                <w:b w:val="0"/>
                <w:sz w:val="14"/>
              </w:rPr>
              <w:t>Architecture docs need to become living docs.</w:t>
            </w:r>
          </w:p>
        </w:tc>
        <w:tc>
          <w:tcPr>
            <w:tcW w:type="dxa" w:w="4320"/>
            <w:vAlign w:val="top"/>
          </w:tcPr>
          <w:p>
            <w:r/>
            <w:r>
              <w:rPr>
                <w:b w:val="0"/>
                <w:sz w:val="14"/>
              </w:rPr>
              <w:t>Keep architecture, design, taxonomy, runbooks, and testing docs in repo and update them with each behavior change.</w:t>
            </w:r>
          </w:p>
        </w:tc>
      </w:tr>
      <w:tr>
        <w:tc>
          <w:tcPr>
            <w:tcW w:type="dxa" w:w="504"/>
            <w:vAlign w:val="top"/>
          </w:tcPr>
          <w:p>
            <w:r/>
            <w:r>
              <w:rPr>
                <w:b w:val="0"/>
                <w:sz w:val="14"/>
              </w:rPr>
              <w:t>135</w:t>
            </w:r>
          </w:p>
        </w:tc>
        <w:tc>
          <w:tcPr>
            <w:tcW w:type="dxa" w:w="1944"/>
            <w:vAlign w:val="top"/>
          </w:tcPr>
          <w:p>
            <w:r/>
            <w:r>
              <w:rPr>
                <w:b w:val="0"/>
                <w:sz w:val="14"/>
              </w:rPr>
              <w:t>Documentation and onboarding</w:t>
            </w:r>
          </w:p>
        </w:tc>
        <w:tc>
          <w:tcPr>
            <w:tcW w:type="dxa" w:w="1008"/>
            <w:vAlign w:val="top"/>
          </w:tcPr>
          <w:p>
            <w:r/>
            <w:r>
              <w:rPr>
                <w:b w:val="0"/>
                <w:sz w:val="14"/>
              </w:rPr>
              <w:t>High</w:t>
            </w:r>
          </w:p>
        </w:tc>
        <w:tc>
          <w:tcPr>
            <w:tcW w:type="dxa" w:w="2880"/>
            <w:vAlign w:val="top"/>
          </w:tcPr>
          <w:p>
            <w:r/>
            <w:r>
              <w:rPr>
                <w:b w:val="0"/>
                <w:sz w:val="14"/>
              </w:rPr>
              <w:t>No operator runbook.</w:t>
            </w:r>
          </w:p>
        </w:tc>
        <w:tc>
          <w:tcPr>
            <w:tcW w:type="dxa" w:w="4320"/>
            <w:vAlign w:val="top"/>
          </w:tcPr>
          <w:p>
            <w:r/>
            <w:r>
              <w:rPr>
                <w:b w:val="0"/>
                <w:sz w:val="14"/>
              </w:rPr>
              <w:t>Write how to start, stop, recover, inspect reports, handle stuck cases, resolve review queues, and rollback imports.</w:t>
            </w:r>
          </w:p>
        </w:tc>
      </w:tr>
      <w:tr>
        <w:tc>
          <w:tcPr>
            <w:tcW w:type="dxa" w:w="504"/>
            <w:vAlign w:val="top"/>
          </w:tcPr>
          <w:p>
            <w:r/>
            <w:r>
              <w:rPr>
                <w:b w:val="0"/>
                <w:sz w:val="14"/>
              </w:rPr>
              <w:t>136</w:t>
            </w:r>
          </w:p>
        </w:tc>
        <w:tc>
          <w:tcPr>
            <w:tcW w:type="dxa" w:w="1944"/>
            <w:vAlign w:val="top"/>
          </w:tcPr>
          <w:p>
            <w:r/>
            <w:r>
              <w:rPr>
                <w:b w:val="0"/>
                <w:sz w:val="14"/>
              </w:rPr>
              <w:t>Documentation and onboarding</w:t>
            </w:r>
          </w:p>
        </w:tc>
        <w:tc>
          <w:tcPr>
            <w:tcW w:type="dxa" w:w="1008"/>
            <w:vAlign w:val="top"/>
          </w:tcPr>
          <w:p>
            <w:r/>
            <w:r>
              <w:rPr>
                <w:b w:val="0"/>
                <w:sz w:val="14"/>
              </w:rPr>
              <w:t>High</w:t>
            </w:r>
          </w:p>
        </w:tc>
        <w:tc>
          <w:tcPr>
            <w:tcW w:type="dxa" w:w="2880"/>
            <w:vAlign w:val="top"/>
          </w:tcPr>
          <w:p>
            <w:r/>
            <w:r>
              <w:rPr>
                <w:b w:val="0"/>
                <w:sz w:val="14"/>
              </w:rPr>
              <w:t>No policy decision log.</w:t>
            </w:r>
          </w:p>
        </w:tc>
        <w:tc>
          <w:tcPr>
            <w:tcW w:type="dxa" w:w="4320"/>
            <w:vAlign w:val="top"/>
          </w:tcPr>
          <w:p>
            <w:r/>
            <w:r>
              <w:rPr>
                <w:b w:val="0"/>
                <w:sz w:val="14"/>
              </w:rPr>
              <w:t>Track decisions from Ray and business stakeholders: when clients are looped in, when senior escalation happens, what KPI families are supported, and what is out of scope.</w:t>
            </w:r>
          </w:p>
        </w:tc>
      </w:tr>
      <w:tr>
        <w:tc>
          <w:tcPr>
            <w:tcW w:type="dxa" w:w="504"/>
            <w:vAlign w:val="top"/>
          </w:tcPr>
          <w:p>
            <w:r/>
            <w:r>
              <w:rPr>
                <w:b w:val="0"/>
                <w:sz w:val="14"/>
              </w:rPr>
              <w:t>137</w:t>
            </w:r>
          </w:p>
        </w:tc>
        <w:tc>
          <w:tcPr>
            <w:tcW w:type="dxa" w:w="1944"/>
            <w:vAlign w:val="top"/>
          </w:tcPr>
          <w:p>
            <w:r/>
            <w:r>
              <w:rPr>
                <w:b w:val="0"/>
                <w:sz w:val="14"/>
              </w:rPr>
              <w:t>Documentation and onboarding</w:t>
            </w:r>
          </w:p>
        </w:tc>
        <w:tc>
          <w:tcPr>
            <w:tcW w:type="dxa" w:w="1008"/>
            <w:vAlign w:val="top"/>
          </w:tcPr>
          <w:p>
            <w:r/>
            <w:r>
              <w:rPr>
                <w:b w:val="0"/>
                <w:sz w:val="14"/>
              </w:rPr>
              <w:t>Medium</w:t>
            </w:r>
          </w:p>
        </w:tc>
        <w:tc>
          <w:tcPr>
            <w:tcW w:type="dxa" w:w="2880"/>
            <w:vAlign w:val="top"/>
          </w:tcPr>
          <w:p>
            <w:r/>
            <w:r>
              <w:rPr>
                <w:b w:val="0"/>
                <w:sz w:val="14"/>
              </w:rPr>
              <w:t>No sample correction workflow.</w:t>
            </w:r>
          </w:p>
        </w:tc>
        <w:tc>
          <w:tcPr>
            <w:tcW w:type="dxa" w:w="4320"/>
            <w:vAlign w:val="top"/>
          </w:tcPr>
          <w:p>
            <w:r/>
            <w:r>
              <w:rPr>
                <w:b w:val="0"/>
                <w:sz w:val="14"/>
              </w:rPr>
              <w:t>Document how a reviewer turns a bad extraction into a parser improvement and test.</w:t>
            </w:r>
          </w:p>
        </w:tc>
      </w:tr>
      <w:tr>
        <w:tc>
          <w:tcPr>
            <w:tcW w:type="dxa" w:w="504"/>
            <w:vAlign w:val="top"/>
          </w:tcPr>
          <w:p>
            <w:r/>
            <w:r>
              <w:rPr>
                <w:b w:val="0"/>
                <w:sz w:val="14"/>
              </w:rPr>
              <w:t>138</w:t>
            </w:r>
          </w:p>
        </w:tc>
        <w:tc>
          <w:tcPr>
            <w:tcW w:type="dxa" w:w="1944"/>
            <w:vAlign w:val="top"/>
          </w:tcPr>
          <w:p>
            <w:r/>
            <w:r>
              <w:rPr>
                <w:b w:val="0"/>
                <w:sz w:val="14"/>
              </w:rPr>
              <w:t>Documentation and onboarding</w:t>
            </w:r>
          </w:p>
        </w:tc>
        <w:tc>
          <w:tcPr>
            <w:tcW w:type="dxa" w:w="1008"/>
            <w:vAlign w:val="top"/>
          </w:tcPr>
          <w:p>
            <w:r/>
            <w:r>
              <w:rPr>
                <w:b w:val="0"/>
                <w:sz w:val="14"/>
              </w:rPr>
              <w:t>Medium</w:t>
            </w:r>
          </w:p>
        </w:tc>
        <w:tc>
          <w:tcPr>
            <w:tcW w:type="dxa" w:w="2880"/>
            <w:vAlign w:val="top"/>
          </w:tcPr>
          <w:p>
            <w:r/>
            <w:r>
              <w:rPr>
                <w:b w:val="0"/>
                <w:sz w:val="14"/>
              </w:rPr>
              <w:t>No glossary.</w:t>
            </w:r>
          </w:p>
        </w:tc>
        <w:tc>
          <w:tcPr>
            <w:tcW w:type="dxa" w:w="4320"/>
            <w:vAlign w:val="top"/>
          </w:tcPr>
          <w:p>
            <w:r/>
            <w:r>
              <w:rPr>
                <w:b w:val="0"/>
                <w:sz w:val="14"/>
              </w:rPr>
              <w:t>Define KPI, CAT1, CAT5, AHJ, evolve, SoluTrak, grouping key, case, review item, observation, and pattern flag.</w:t>
            </w:r>
          </w:p>
        </w:tc>
      </w:tr>
    </w:tbl>
    <w:p/>
    <w:p>
      <w:r>
        <w:br w:type="page"/>
      </w:r>
    </w:p>
    <w:p>
      <w:pPr>
        <w:pStyle w:val="Heading1"/>
      </w:pPr>
      <w:r>
        <w:rPr>
          <w:rFonts w:ascii="Aptos Display" w:hAnsi="Aptos Display"/>
          <w:color w:val="1F4E79"/>
          <w:sz w:val="36"/>
        </w:rPr>
        <w:t>6. Manual Review Reduction Plan</w:t>
      </w:r>
    </w:p>
    <w:p>
      <w:pPr>
        <w:spacing w:after="120"/>
      </w:pPr>
      <w:r>
        <w:rPr>
          <w:rFonts w:ascii="Aptos" w:hAnsi="Aptos"/>
          <w:sz w:val="20"/>
        </w:rPr>
        <w:t>Manual review is the part most likely to make or break the project. If review becomes the default outcome, the system will feel like it created a second inbox instead of solving the first one.</w:t>
      </w:r>
    </w:p>
    <w:p>
      <w:pPr>
        <w:pStyle w:val="Heading2"/>
      </w:pPr>
      <w:r>
        <w:rPr>
          <w:rFonts w:ascii="Aptos Display" w:hAnsi="Aptos Display"/>
          <w:color w:val="2F5496"/>
          <w:sz w:val="28"/>
        </w:rPr>
        <w:t>Review Queue Design</w:t>
      </w:r>
    </w:p>
    <w:p>
      <w:pPr>
        <w:pStyle w:val="ListBullet"/>
        <w:spacing w:after="40"/>
      </w:pPr>
      <w:r>
        <w:rPr>
          <w:rFonts w:ascii="Aptos" w:hAnsi="Aptos"/>
          <w:sz w:val="19"/>
        </w:rPr>
        <w:t>Safety review: prompt injection, suspicious sender, unsafe outbound content, or spoofing concerns.</w:t>
      </w:r>
    </w:p>
    <w:p>
      <w:pPr>
        <w:pStyle w:val="ListBullet"/>
        <w:spacing w:after="40"/>
      </w:pPr>
      <w:r>
        <w:rPr>
          <w:rFonts w:ascii="Aptos" w:hAnsi="Aptos"/>
          <w:sz w:val="19"/>
        </w:rPr>
        <w:t>Extraction repair: missing building, device, contractor, due date, period, or hours fields.</w:t>
      </w:r>
    </w:p>
    <w:p>
      <w:pPr>
        <w:pStyle w:val="ListBullet"/>
        <w:spacing w:after="40"/>
      </w:pPr>
      <w:r>
        <w:rPr>
          <w:rFonts w:ascii="Aptos" w:hAnsi="Aptos"/>
          <w:sz w:val="19"/>
        </w:rPr>
        <w:t>Unsupported KPI review: known alert family that the system recognizes but does not support yet.</w:t>
      </w:r>
    </w:p>
    <w:p>
      <w:pPr>
        <w:pStyle w:val="ListBullet"/>
        <w:spacing w:after="40"/>
      </w:pPr>
      <w:r>
        <w:rPr>
          <w:rFonts w:ascii="Aptos" w:hAnsi="Aptos"/>
          <w:sz w:val="19"/>
        </w:rPr>
        <w:t>Unknown classifier review: email might be a KPI, but the system cannot identify the family.</w:t>
      </w:r>
    </w:p>
    <w:p>
      <w:pPr>
        <w:pStyle w:val="ListBullet"/>
        <w:spacing w:after="40"/>
      </w:pPr>
      <w:r>
        <w:rPr>
          <w:rFonts w:ascii="Aptos" w:hAnsi="Aptos"/>
          <w:sz w:val="19"/>
        </w:rPr>
        <w:t>Routing/contact review: case can be created, but the recipient or CC policy is uncertain.</w:t>
      </w:r>
    </w:p>
    <w:p>
      <w:pPr>
        <w:pStyle w:val="ListBullet"/>
        <w:spacing w:after="40"/>
      </w:pPr>
      <w:r>
        <w:rPr>
          <w:rFonts w:ascii="Aptos" w:hAnsi="Aptos"/>
          <w:sz w:val="19"/>
        </w:rPr>
        <w:t>Closure review: reply suggests completion, but evidence must be verified before closing.</w:t>
      </w:r>
    </w:p>
    <w:p>
      <w:pPr>
        <w:pStyle w:val="ListBullet"/>
        <w:spacing w:after="40"/>
      </w:pPr>
      <w:r>
        <w:rPr>
          <w:rFonts w:ascii="Aptos" w:hAnsi="Aptos"/>
          <w:sz w:val="19"/>
        </w:rPr>
        <w:t>Collision review: grouped case receives conflicting building, device, contractor, period, or due date values.</w:t>
      </w:r>
    </w:p>
    <w:p>
      <w:pPr>
        <w:pStyle w:val="ListBullet"/>
        <w:spacing w:after="40"/>
      </w:pPr>
      <w:r>
        <w:rPr>
          <w:rFonts w:ascii="Aptos" w:hAnsi="Aptos"/>
          <w:sz w:val="19"/>
        </w:rPr>
        <w:t>Escalation review: case has aged or repeated follow-ups require senior attention.</w:t>
      </w:r>
    </w:p>
    <w:p>
      <w:pPr>
        <w:pStyle w:val="Heading2"/>
      </w:pPr>
      <w:r>
        <w:rPr>
          <w:rFonts w:ascii="Aptos Display" w:hAnsi="Aptos Display"/>
          <w:color w:val="2F5496"/>
          <w:sz w:val="28"/>
        </w:rPr>
        <w:t>Review Reason Codes to Add Immediately</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2880"/>
            <w:vAlign w:val="top"/>
            <w:shd w:fill="1F4E79"/>
          </w:tcPr>
          <w:p>
            <w:r/>
            <w:r>
              <w:rPr>
                <w:b/>
                <w:color w:val="FFFFFF"/>
                <w:sz w:val="17"/>
              </w:rPr>
              <w:t>Reason code</w:t>
            </w:r>
          </w:p>
        </w:tc>
        <w:tc>
          <w:tcPr>
            <w:tcW w:type="dxa" w:w="7488"/>
            <w:vAlign w:val="top"/>
            <w:shd w:fill="1F4E79"/>
          </w:tcPr>
          <w:p>
            <w:r/>
            <w:r>
              <w:rPr>
                <w:b/>
                <w:color w:val="FFFFFF"/>
                <w:sz w:val="17"/>
              </w:rPr>
              <w:t>Meaning</w:t>
            </w:r>
          </w:p>
        </w:tc>
      </w:tr>
      <w:tr>
        <w:tc>
          <w:tcPr>
            <w:tcW w:type="dxa" w:w="2880"/>
            <w:vAlign w:val="top"/>
          </w:tcPr>
          <w:p>
            <w:r/>
            <w:r>
              <w:rPr>
                <w:b w:val="0"/>
                <w:sz w:val="17"/>
              </w:rPr>
              <w:t>unsupported_family</w:t>
            </w:r>
          </w:p>
        </w:tc>
        <w:tc>
          <w:tcPr>
            <w:tcW w:type="dxa" w:w="7488"/>
            <w:vAlign w:val="top"/>
          </w:tcPr>
          <w:p>
            <w:r/>
            <w:r>
              <w:rPr>
                <w:b w:val="0"/>
                <w:sz w:val="17"/>
              </w:rPr>
              <w:t>Known KPI family is not implemented yet.</w:t>
            </w:r>
          </w:p>
        </w:tc>
      </w:tr>
      <w:tr>
        <w:tc>
          <w:tcPr>
            <w:tcW w:type="dxa" w:w="2880"/>
            <w:vAlign w:val="top"/>
          </w:tcPr>
          <w:p>
            <w:r/>
            <w:r>
              <w:rPr>
                <w:b w:val="0"/>
                <w:sz w:val="17"/>
              </w:rPr>
              <w:t>unknown_kpi_candidate</w:t>
            </w:r>
          </w:p>
        </w:tc>
        <w:tc>
          <w:tcPr>
            <w:tcW w:type="dxa" w:w="7488"/>
            <w:vAlign w:val="top"/>
          </w:tcPr>
          <w:p>
            <w:r/>
            <w:r>
              <w:rPr>
                <w:b w:val="0"/>
                <w:sz w:val="17"/>
              </w:rPr>
              <w:t>Could be a KPI, but no supported or unsupported family matched.</w:t>
            </w:r>
          </w:p>
        </w:tc>
      </w:tr>
      <w:tr>
        <w:tc>
          <w:tcPr>
            <w:tcW w:type="dxa" w:w="2880"/>
            <w:vAlign w:val="top"/>
          </w:tcPr>
          <w:p>
            <w:r/>
            <w:r>
              <w:rPr>
                <w:b w:val="0"/>
                <w:sz w:val="17"/>
              </w:rPr>
              <w:t>missing_building</w:t>
            </w:r>
          </w:p>
        </w:tc>
        <w:tc>
          <w:tcPr>
            <w:tcW w:type="dxa" w:w="7488"/>
            <w:vAlign w:val="top"/>
          </w:tcPr>
          <w:p>
            <w:r/>
            <w:r>
              <w:rPr>
                <w:b w:val="0"/>
                <w:sz w:val="17"/>
              </w:rPr>
              <w:t>Building could not be extracted or confidently inferred.</w:t>
            </w:r>
          </w:p>
        </w:tc>
      </w:tr>
      <w:tr>
        <w:tc>
          <w:tcPr>
            <w:tcW w:type="dxa" w:w="2880"/>
            <w:vAlign w:val="top"/>
          </w:tcPr>
          <w:p>
            <w:r/>
            <w:r>
              <w:rPr>
                <w:b w:val="0"/>
                <w:sz w:val="17"/>
              </w:rPr>
              <w:t>missing_device</w:t>
            </w:r>
          </w:p>
        </w:tc>
        <w:tc>
          <w:tcPr>
            <w:tcW w:type="dxa" w:w="7488"/>
            <w:vAlign w:val="top"/>
          </w:tcPr>
          <w:p>
            <w:r/>
            <w:r>
              <w:rPr>
                <w:b w:val="0"/>
                <w:sz w:val="17"/>
              </w:rPr>
              <w:t>Device or elevator/bank identifier is missing.</w:t>
            </w:r>
          </w:p>
        </w:tc>
      </w:tr>
      <w:tr>
        <w:tc>
          <w:tcPr>
            <w:tcW w:type="dxa" w:w="2880"/>
            <w:vAlign w:val="top"/>
          </w:tcPr>
          <w:p>
            <w:r/>
            <w:r>
              <w:rPr>
                <w:b w:val="0"/>
                <w:sz w:val="17"/>
              </w:rPr>
              <w:t>missing_contractor</w:t>
            </w:r>
          </w:p>
        </w:tc>
        <w:tc>
          <w:tcPr>
            <w:tcW w:type="dxa" w:w="7488"/>
            <w:vAlign w:val="top"/>
          </w:tcPr>
          <w:p>
            <w:r/>
            <w:r>
              <w:rPr>
                <w:b w:val="0"/>
                <w:sz w:val="17"/>
              </w:rPr>
              <w:t>Contractor is required but unknown.</w:t>
            </w:r>
          </w:p>
        </w:tc>
      </w:tr>
      <w:tr>
        <w:tc>
          <w:tcPr>
            <w:tcW w:type="dxa" w:w="2880"/>
            <w:vAlign w:val="top"/>
          </w:tcPr>
          <w:p>
            <w:r/>
            <w:r>
              <w:rPr>
                <w:b w:val="0"/>
                <w:sz w:val="17"/>
              </w:rPr>
              <w:t>missing_due_date</w:t>
            </w:r>
          </w:p>
        </w:tc>
        <w:tc>
          <w:tcPr>
            <w:tcW w:type="dxa" w:w="7488"/>
            <w:vAlign w:val="top"/>
          </w:tcPr>
          <w:p>
            <w:r/>
            <w:r>
              <w:rPr>
                <w:b w:val="0"/>
                <w:sz w:val="17"/>
              </w:rPr>
              <w:t>Due date or scheduled date is required but unresolved.</w:t>
            </w:r>
          </w:p>
        </w:tc>
      </w:tr>
      <w:tr>
        <w:tc>
          <w:tcPr>
            <w:tcW w:type="dxa" w:w="2880"/>
            <w:vAlign w:val="top"/>
          </w:tcPr>
          <w:p>
            <w:r/>
            <w:r>
              <w:rPr>
                <w:b w:val="0"/>
                <w:sz w:val="17"/>
              </w:rPr>
              <w:t>body_signature_mismatch</w:t>
            </w:r>
          </w:p>
        </w:tc>
        <w:tc>
          <w:tcPr>
            <w:tcW w:type="dxa" w:w="7488"/>
            <w:vAlign w:val="top"/>
          </w:tcPr>
          <w:p>
            <w:r/>
            <w:r>
              <w:rPr>
                <w:b w:val="0"/>
                <w:sz w:val="17"/>
              </w:rPr>
              <w:t>Subject matched but body does not match expected template.</w:t>
            </w:r>
          </w:p>
        </w:tc>
      </w:tr>
      <w:tr>
        <w:tc>
          <w:tcPr>
            <w:tcW w:type="dxa" w:w="2880"/>
            <w:vAlign w:val="top"/>
          </w:tcPr>
          <w:p>
            <w:r/>
            <w:r>
              <w:rPr>
                <w:b w:val="0"/>
                <w:sz w:val="17"/>
              </w:rPr>
              <w:t>possible_prompt_injection</w:t>
            </w:r>
          </w:p>
        </w:tc>
        <w:tc>
          <w:tcPr>
            <w:tcW w:type="dxa" w:w="7488"/>
            <w:vAlign w:val="top"/>
          </w:tcPr>
          <w:p>
            <w:r/>
            <w:r>
              <w:rPr>
                <w:b w:val="0"/>
                <w:sz w:val="17"/>
              </w:rPr>
              <w:t>Suspicious instruction-like content was detected.</w:t>
            </w:r>
          </w:p>
        </w:tc>
      </w:tr>
      <w:tr>
        <w:tc>
          <w:tcPr>
            <w:tcW w:type="dxa" w:w="2880"/>
            <w:vAlign w:val="top"/>
          </w:tcPr>
          <w:p>
            <w:r/>
            <w:r>
              <w:rPr>
                <w:b w:val="0"/>
                <w:sz w:val="17"/>
              </w:rPr>
              <w:t>routing_unknown</w:t>
            </w:r>
          </w:p>
        </w:tc>
        <w:tc>
          <w:tcPr>
            <w:tcW w:type="dxa" w:w="7488"/>
            <w:vAlign w:val="top"/>
          </w:tcPr>
          <w:p>
            <w:r/>
            <w:r>
              <w:rPr>
                <w:b w:val="0"/>
                <w:sz w:val="17"/>
              </w:rPr>
              <w:t>Outbound contact or escalation recipient is unknown.</w:t>
            </w:r>
          </w:p>
        </w:tc>
      </w:tr>
      <w:tr>
        <w:tc>
          <w:tcPr>
            <w:tcW w:type="dxa" w:w="2880"/>
            <w:vAlign w:val="top"/>
          </w:tcPr>
          <w:p>
            <w:r/>
            <w:r>
              <w:rPr>
                <w:b w:val="0"/>
                <w:sz w:val="17"/>
              </w:rPr>
              <w:t>grouping_collision</w:t>
            </w:r>
          </w:p>
        </w:tc>
        <w:tc>
          <w:tcPr>
            <w:tcW w:type="dxa" w:w="7488"/>
            <w:vAlign w:val="top"/>
          </w:tcPr>
          <w:p>
            <w:r/>
            <w:r>
              <w:rPr>
                <w:b w:val="0"/>
                <w:sz w:val="17"/>
              </w:rPr>
              <w:t>Potential case grouping conflict detected.</w:t>
            </w:r>
          </w:p>
        </w:tc>
      </w:tr>
      <w:tr>
        <w:tc>
          <w:tcPr>
            <w:tcW w:type="dxa" w:w="2880"/>
            <w:vAlign w:val="top"/>
          </w:tcPr>
          <w:p>
            <w:r/>
            <w:r>
              <w:rPr>
                <w:b w:val="0"/>
                <w:sz w:val="17"/>
              </w:rPr>
              <w:t>reply_possible_resolution</w:t>
            </w:r>
          </w:p>
        </w:tc>
        <w:tc>
          <w:tcPr>
            <w:tcW w:type="dxa" w:w="7488"/>
            <w:vAlign w:val="top"/>
          </w:tcPr>
          <w:p>
            <w:r/>
            <w:r>
              <w:rPr>
                <w:b w:val="0"/>
                <w:sz w:val="17"/>
              </w:rPr>
              <w:t>Reply suggests completion but needs human confirmation.</w:t>
            </w:r>
          </w:p>
        </w:tc>
      </w:tr>
      <w:tr>
        <w:tc>
          <w:tcPr>
            <w:tcW w:type="dxa" w:w="2880"/>
            <w:vAlign w:val="top"/>
          </w:tcPr>
          <w:p>
            <w:r/>
            <w:r>
              <w:rPr>
                <w:b w:val="0"/>
                <w:sz w:val="17"/>
              </w:rPr>
              <w:t>stale_no_response</w:t>
            </w:r>
          </w:p>
        </w:tc>
        <w:tc>
          <w:tcPr>
            <w:tcW w:type="dxa" w:w="7488"/>
            <w:vAlign w:val="top"/>
          </w:tcPr>
          <w:p>
            <w:r/>
            <w:r>
              <w:rPr>
                <w:b w:val="0"/>
                <w:sz w:val="17"/>
              </w:rPr>
              <w:t>Follow-up count or age requires escalation review.</w:t>
            </w:r>
          </w:p>
        </w:tc>
      </w:tr>
    </w:tbl>
    <w:p/>
    <w:p>
      <w:pPr>
        <w:pStyle w:val="Heading2"/>
      </w:pPr>
      <w:r>
        <w:rPr>
          <w:rFonts w:ascii="Aptos Display" w:hAnsi="Aptos Display"/>
          <w:color w:val="2F5496"/>
          <w:sz w:val="28"/>
        </w:rPr>
        <w:t>Weekly Review Improvement Loop</w:t>
      </w:r>
    </w:p>
    <w:p>
      <w:pPr>
        <w:pStyle w:val="ListNumber"/>
        <w:spacing w:after="40"/>
      </w:pPr>
      <w:r>
        <w:rPr>
          <w:rFonts w:ascii="Aptos" w:hAnsi="Aptos"/>
          <w:sz w:val="19"/>
        </w:rPr>
        <w:t>Pull the top 20 review reasons by count and source.</w:t>
      </w:r>
    </w:p>
    <w:p>
      <w:pPr>
        <w:pStyle w:val="ListNumber"/>
        <w:spacing w:after="40"/>
      </w:pPr>
      <w:r>
        <w:rPr>
          <w:rFonts w:ascii="Aptos" w:hAnsi="Aptos"/>
          <w:sz w:val="19"/>
        </w:rPr>
        <w:t>Identify which review reasons can be solved with a parser rule, alias, contact mapping, or policy update.</w:t>
      </w:r>
    </w:p>
    <w:p>
      <w:pPr>
        <w:pStyle w:val="ListNumber"/>
        <w:spacing w:after="40"/>
      </w:pPr>
      <w:r>
        <w:rPr>
          <w:rFonts w:ascii="Aptos" w:hAnsi="Aptos"/>
          <w:sz w:val="19"/>
        </w:rPr>
        <w:t>Convert each fixed review reason into a regression test before changing the parser.</w:t>
      </w:r>
    </w:p>
    <w:p>
      <w:pPr>
        <w:pStyle w:val="ListNumber"/>
        <w:spacing w:after="40"/>
      </w:pPr>
      <w:r>
        <w:rPr>
          <w:rFonts w:ascii="Aptos" w:hAnsi="Aptos"/>
          <w:sz w:val="19"/>
        </w:rPr>
        <w:t>Rerun backlog dry-runs and compare acceptance rate, review rate, and grouping changes.</w:t>
      </w:r>
    </w:p>
    <w:p>
      <w:pPr>
        <w:pStyle w:val="ListNumber"/>
        <w:spacing w:after="40"/>
      </w:pPr>
      <w:r>
        <w:rPr>
          <w:rFonts w:ascii="Aptos" w:hAnsi="Aptos"/>
          <w:sz w:val="19"/>
        </w:rPr>
        <w:t>Promote only changes that reduce review volume without increasing wrong-case or wrong-routing risk.</w:t>
      </w:r>
    </w:p>
    <w:p>
      <w:pPr>
        <w:pStyle w:val="Heading1"/>
      </w:pPr>
      <w:r>
        <w:rPr>
          <w:rFonts w:ascii="Aptos Display" w:hAnsi="Aptos Display"/>
          <w:color w:val="1F4E79"/>
          <w:sz w:val="36"/>
        </w:rPr>
        <w:t>7. AI Usage Recommendations</w:t>
      </w:r>
    </w:p>
    <w:p>
      <w:pPr>
        <w:spacing w:after="120"/>
      </w:pPr>
      <w:r>
        <w:rPr>
          <w:rFonts w:ascii="Aptos" w:hAnsi="Aptos"/>
          <w:sz w:val="20"/>
        </w:rPr>
        <w:t>The project should not try to become more intelligent by simply making more model calls. The smarter move is to use AI only at the narrow points where deterministic logic is blocked and the result can be validated.</w:t>
      </w:r>
    </w:p>
    <w:p>
      <w:pPr>
        <w:pStyle w:val="ListBullet"/>
        <w:spacing w:after="40"/>
      </w:pPr>
      <w:r>
        <w:rPr>
          <w:rFonts w:ascii="Aptos" w:hAnsi="Aptos"/>
          <w:sz w:val="19"/>
        </w:rPr>
        <w:t>Use AI to propose missing fields only when deterministic extraction found enough context to validate the answer.</w:t>
      </w:r>
    </w:p>
    <w:p>
      <w:pPr>
        <w:pStyle w:val="ListBullet"/>
        <w:spacing w:after="40"/>
      </w:pPr>
      <w:r>
        <w:rPr>
          <w:rFonts w:ascii="Aptos" w:hAnsi="Aptos"/>
          <w:sz w:val="19"/>
        </w:rPr>
        <w:t>Require the AI to provide evidence spans for each field it proposes.</w:t>
      </w:r>
    </w:p>
    <w:p>
      <w:pPr>
        <w:pStyle w:val="ListBullet"/>
        <w:spacing w:after="40"/>
      </w:pPr>
      <w:r>
        <w:rPr>
          <w:rFonts w:ascii="Aptos" w:hAnsi="Aptos"/>
          <w:sz w:val="19"/>
        </w:rPr>
        <w:t>Reject AI outputs that do not match a strict schema or produce unknown fields.</w:t>
      </w:r>
    </w:p>
    <w:p>
      <w:pPr>
        <w:pStyle w:val="ListBullet"/>
        <w:spacing w:after="40"/>
      </w:pPr>
      <w:r>
        <w:rPr>
          <w:rFonts w:ascii="Aptos" w:hAnsi="Aptos"/>
          <w:sz w:val="19"/>
        </w:rPr>
        <w:t>Keep model output out of direct control paths. AI can suggest. Policy decides.</w:t>
      </w:r>
    </w:p>
    <w:p>
      <w:pPr>
        <w:pStyle w:val="ListBullet"/>
        <w:spacing w:after="40"/>
      </w:pPr>
      <w:r>
        <w:rPr>
          <w:rFonts w:ascii="Aptos" w:hAnsi="Aptos"/>
          <w:sz w:val="19"/>
        </w:rPr>
        <w:t>Use small, purpose-specific prompts instead of one giant prompt that tries to understand the whole case.</w:t>
      </w:r>
    </w:p>
    <w:p>
      <w:pPr>
        <w:pStyle w:val="ListBullet"/>
        <w:spacing w:after="40"/>
      </w:pPr>
      <w:r>
        <w:rPr>
          <w:rFonts w:ascii="Aptos" w:hAnsi="Aptos"/>
          <w:sz w:val="19"/>
        </w:rPr>
        <w:t>Track cost and quality by purpose: classification, extraction, reply analysis, drafting, and pattern analysis.</w:t>
      </w:r>
    </w:p>
    <w:p>
      <w:pPr>
        <w:pStyle w:val="ListBullet"/>
        <w:spacing w:after="40"/>
      </w:pPr>
      <w:r>
        <w:rPr>
          <w:rFonts w:ascii="Aptos" w:hAnsi="Aptos"/>
          <w:sz w:val="19"/>
        </w:rPr>
        <w:t>Sample AI-assisted cases for human audit until correction rates are consistently low.</w:t>
      </w:r>
    </w:p>
    <w:p>
      <w:pPr>
        <w:pStyle w:val="Heading2"/>
      </w:pPr>
      <w:r>
        <w:rPr>
          <w:rFonts w:ascii="Aptos Display" w:hAnsi="Aptos Display"/>
          <w:color w:val="2F5496"/>
          <w:sz w:val="28"/>
        </w:rPr>
        <w:t>AI Tasks Worth Trying Later</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rPr>
          <w:tblHeader w:val="true"/>
        </w:trPr>
        <w:tc>
          <w:tcPr>
            <w:tcW w:type="dxa" w:w="2304"/>
            <w:vAlign w:val="top"/>
            <w:shd w:fill="1F4E79"/>
          </w:tcPr>
          <w:p>
            <w:r/>
            <w:r>
              <w:rPr>
                <w:b/>
                <w:color w:val="FFFFFF"/>
                <w:sz w:val="16"/>
              </w:rPr>
              <w:t>Task</w:t>
            </w:r>
          </w:p>
        </w:tc>
        <w:tc>
          <w:tcPr>
            <w:tcW w:type="dxa" w:w="3960"/>
            <w:vAlign w:val="top"/>
            <w:shd w:fill="1F4E79"/>
          </w:tcPr>
          <w:p>
            <w:r/>
            <w:r>
              <w:rPr>
                <w:b/>
                <w:color w:val="FFFFFF"/>
                <w:sz w:val="16"/>
              </w:rPr>
              <w:t>Why it is useful</w:t>
            </w:r>
          </w:p>
        </w:tc>
        <w:tc>
          <w:tcPr>
            <w:tcW w:type="dxa" w:w="3960"/>
            <w:vAlign w:val="top"/>
            <w:shd w:fill="1F4E79"/>
          </w:tcPr>
          <w:p>
            <w:r/>
            <w:r>
              <w:rPr>
                <w:b/>
                <w:color w:val="FFFFFF"/>
                <w:sz w:val="16"/>
              </w:rPr>
              <w:t>Required guardrail</w:t>
            </w:r>
          </w:p>
        </w:tc>
      </w:tr>
      <w:tr>
        <w:tc>
          <w:tcPr>
            <w:tcW w:type="dxa" w:w="2304"/>
            <w:vAlign w:val="top"/>
          </w:tcPr>
          <w:p>
            <w:r/>
            <w:r>
              <w:rPr>
                <w:b w:val="0"/>
                <w:sz w:val="16"/>
              </w:rPr>
              <w:t>Missing field repair</w:t>
            </w:r>
          </w:p>
        </w:tc>
        <w:tc>
          <w:tcPr>
            <w:tcW w:type="dxa" w:w="3960"/>
            <w:vAlign w:val="top"/>
          </w:tcPr>
          <w:p>
            <w:r/>
            <w:r>
              <w:rPr>
                <w:b w:val="0"/>
                <w:sz w:val="16"/>
              </w:rPr>
              <w:t>Can reduce manual review when deterministic parsing gets most fields right.</w:t>
            </w:r>
          </w:p>
        </w:tc>
        <w:tc>
          <w:tcPr>
            <w:tcW w:type="dxa" w:w="3960"/>
            <w:vAlign w:val="top"/>
          </w:tcPr>
          <w:p>
            <w:r/>
            <w:r>
              <w:rPr>
                <w:b w:val="0"/>
                <w:sz w:val="16"/>
              </w:rPr>
              <w:t>Schema validation, evidence spans, and value normalization.</w:t>
            </w:r>
          </w:p>
        </w:tc>
      </w:tr>
      <w:tr>
        <w:tc>
          <w:tcPr>
            <w:tcW w:type="dxa" w:w="2304"/>
            <w:vAlign w:val="top"/>
          </w:tcPr>
          <w:p>
            <w:r/>
            <w:r>
              <w:rPr>
                <w:b w:val="0"/>
                <w:sz w:val="16"/>
              </w:rPr>
              <w:t>Unsupported family clustering</w:t>
            </w:r>
          </w:p>
        </w:tc>
        <w:tc>
          <w:tcPr>
            <w:tcW w:type="dxa" w:w="3960"/>
            <w:vAlign w:val="top"/>
          </w:tcPr>
          <w:p>
            <w:r/>
            <w:r>
              <w:rPr>
                <w:b w:val="0"/>
                <w:sz w:val="16"/>
              </w:rPr>
              <w:t>Can summarize batches of unknown subjects into candidate new parser families.</w:t>
            </w:r>
          </w:p>
        </w:tc>
        <w:tc>
          <w:tcPr>
            <w:tcW w:type="dxa" w:w="3960"/>
            <w:vAlign w:val="top"/>
          </w:tcPr>
          <w:p>
            <w:r/>
            <w:r>
              <w:rPr>
                <w:b w:val="0"/>
                <w:sz w:val="16"/>
              </w:rPr>
              <w:t>No automatic case creation from clusters.</w:t>
            </w:r>
          </w:p>
        </w:tc>
      </w:tr>
      <w:tr>
        <w:tc>
          <w:tcPr>
            <w:tcW w:type="dxa" w:w="2304"/>
            <w:vAlign w:val="top"/>
          </w:tcPr>
          <w:p>
            <w:r/>
            <w:r>
              <w:rPr>
                <w:b w:val="0"/>
                <w:sz w:val="16"/>
              </w:rPr>
              <w:t>Reply intent classification</w:t>
            </w:r>
          </w:p>
        </w:tc>
        <w:tc>
          <w:tcPr>
            <w:tcW w:type="dxa" w:w="3960"/>
            <w:vAlign w:val="top"/>
          </w:tcPr>
          <w:p>
            <w:r/>
            <w:r>
              <w:rPr>
                <w:b w:val="0"/>
                <w:sz w:val="16"/>
              </w:rPr>
              <w:t>Can distinguish acknowledgement, scheduled, completed, blocked, and unrelated replies.</w:t>
            </w:r>
          </w:p>
        </w:tc>
        <w:tc>
          <w:tcPr>
            <w:tcW w:type="dxa" w:w="3960"/>
            <w:vAlign w:val="top"/>
          </w:tcPr>
          <w:p>
            <w:r/>
            <w:r>
              <w:rPr>
                <w:b w:val="0"/>
                <w:sz w:val="16"/>
              </w:rPr>
              <w:t>Never auto-close. Require evidence and human approval.</w:t>
            </w:r>
          </w:p>
        </w:tc>
      </w:tr>
      <w:tr>
        <w:tc>
          <w:tcPr>
            <w:tcW w:type="dxa" w:w="2304"/>
            <w:vAlign w:val="top"/>
          </w:tcPr>
          <w:p>
            <w:r/>
            <w:r>
              <w:rPr>
                <w:b w:val="0"/>
                <w:sz w:val="16"/>
              </w:rPr>
              <w:t>Template drafting</w:t>
            </w:r>
          </w:p>
        </w:tc>
        <w:tc>
          <w:tcPr>
            <w:tcW w:type="dxa" w:w="3960"/>
            <w:vAlign w:val="top"/>
          </w:tcPr>
          <w:p>
            <w:r/>
            <w:r>
              <w:rPr>
                <w:b w:val="0"/>
                <w:sz w:val="16"/>
              </w:rPr>
              <w:t>Can make messages more polished and context-aware.</w:t>
            </w:r>
          </w:p>
        </w:tc>
        <w:tc>
          <w:tcPr>
            <w:tcW w:type="dxa" w:w="3960"/>
            <w:vAlign w:val="top"/>
          </w:tcPr>
          <w:p>
            <w:r/>
            <w:r>
              <w:rPr>
                <w:b w:val="0"/>
                <w:sz w:val="16"/>
              </w:rPr>
              <w:t>Approved templates, outbound scanner, and recipient gate.</w:t>
            </w:r>
          </w:p>
        </w:tc>
      </w:tr>
      <w:tr>
        <w:tc>
          <w:tcPr>
            <w:tcW w:type="dxa" w:w="2304"/>
            <w:vAlign w:val="top"/>
          </w:tcPr>
          <w:p>
            <w:r/>
            <w:r>
              <w:rPr>
                <w:b w:val="0"/>
                <w:sz w:val="16"/>
              </w:rPr>
              <w:t>Review summarization</w:t>
            </w:r>
          </w:p>
        </w:tc>
        <w:tc>
          <w:tcPr>
            <w:tcW w:type="dxa" w:w="3960"/>
            <w:vAlign w:val="top"/>
          </w:tcPr>
          <w:p>
            <w:r/>
            <w:r>
              <w:rPr>
                <w:b w:val="0"/>
                <w:sz w:val="16"/>
              </w:rPr>
              <w:t>Can help operators understand long email threads faster.</w:t>
            </w:r>
          </w:p>
        </w:tc>
        <w:tc>
          <w:tcPr>
            <w:tcW w:type="dxa" w:w="3960"/>
            <w:vAlign w:val="top"/>
          </w:tcPr>
          <w:p>
            <w:r/>
            <w:r>
              <w:rPr>
                <w:b w:val="0"/>
                <w:sz w:val="16"/>
              </w:rPr>
              <w:t>Clear source citations and no action authority.</w:t>
            </w:r>
          </w:p>
        </w:tc>
      </w:tr>
    </w:tbl>
    <w:p/>
    <w:p>
      <w:pPr>
        <w:pStyle w:val="Heading1"/>
      </w:pPr>
      <w:r>
        <w:rPr>
          <w:rFonts w:ascii="Aptos Display" w:hAnsi="Aptos Display"/>
          <w:color w:val="1F4E79"/>
          <w:sz w:val="36"/>
        </w:rPr>
        <w:t>8. Backlog Mode Recommendations</w:t>
      </w:r>
    </w:p>
    <w:p>
      <w:pPr>
        <w:spacing w:after="120"/>
      </w:pPr>
      <w:r>
        <w:rPr>
          <w:rFonts w:ascii="Aptos" w:hAnsi="Aptos"/>
          <w:sz w:val="20"/>
        </w:rPr>
        <w:t>Backlog mode should become one of the most valuable parts of the project because historical email reveals the real shape of the problem. Right now it is a safe importer. The next version should make it a learning system.</w:t>
      </w:r>
    </w:p>
    <w:p>
      <w:pPr>
        <w:pStyle w:val="ListBullet"/>
        <w:spacing w:after="40"/>
      </w:pPr>
      <w:r>
        <w:rPr>
          <w:rFonts w:ascii="Aptos" w:hAnsi="Aptos"/>
          <w:sz w:val="19"/>
        </w:rPr>
        <w:t>Treat every rejected or review item as a parser improvement candidate.</w:t>
      </w:r>
    </w:p>
    <w:p>
      <w:pPr>
        <w:pStyle w:val="ListBullet"/>
        <w:spacing w:after="40"/>
      </w:pPr>
      <w:r>
        <w:rPr>
          <w:rFonts w:ascii="Aptos" w:hAnsi="Aptos"/>
          <w:sz w:val="19"/>
        </w:rPr>
        <w:t>Rank unsupported KPI families by historical volume and current business importance.</w:t>
      </w:r>
    </w:p>
    <w:p>
      <w:pPr>
        <w:pStyle w:val="ListBullet"/>
        <w:spacing w:after="40"/>
      </w:pPr>
      <w:r>
        <w:rPr>
          <w:rFonts w:ascii="Aptos" w:hAnsi="Aptos"/>
          <w:sz w:val="19"/>
        </w:rPr>
        <w:t>Add batch IDs and rollback so imports can be committed safely.</w:t>
      </w:r>
    </w:p>
    <w:p>
      <w:pPr>
        <w:pStyle w:val="ListBullet"/>
        <w:spacing w:after="40"/>
      </w:pPr>
      <w:r>
        <w:rPr>
          <w:rFonts w:ascii="Aptos" w:hAnsi="Aptos"/>
          <w:sz w:val="19"/>
        </w:rPr>
        <w:t>Support dry-run comparison between old parser rules and proposed parser rules.</w:t>
      </w:r>
    </w:p>
    <w:p>
      <w:pPr>
        <w:pStyle w:val="ListBullet"/>
        <w:spacing w:after="40"/>
      </w:pPr>
      <w:r>
        <w:rPr>
          <w:rFonts w:ascii="Aptos" w:hAnsi="Aptos"/>
          <w:sz w:val="19"/>
        </w:rPr>
        <w:t>Generate a parser roadmap automatically from top unknown subjects, missing fields, and unsupported families.</w:t>
      </w:r>
    </w:p>
    <w:p>
      <w:pPr>
        <w:pStyle w:val="ListBullet"/>
        <w:spacing w:after="40"/>
      </w:pPr>
      <w:r>
        <w:rPr>
          <w:rFonts w:ascii="Aptos" w:hAnsi="Aptos"/>
          <w:sz w:val="19"/>
        </w:rPr>
        <w:t>Keep historical imports from triggering live follow-up clocks unless explicitly enabled.</w:t>
      </w:r>
    </w:p>
    <w:p>
      <w:pPr>
        <w:pStyle w:val="ListBullet"/>
        <w:spacing w:after="40"/>
      </w:pPr>
      <w:r>
        <w:rPr>
          <w:rFonts w:ascii="Aptos" w:hAnsi="Aptos"/>
          <w:sz w:val="19"/>
        </w:rPr>
        <w:t>Preserve original message identity, headers, sender, recipients, and dates through PST conversion.</w:t>
      </w:r>
    </w:p>
    <w:p>
      <w:pPr>
        <w:pStyle w:val="Heading1"/>
      </w:pPr>
      <w:r>
        <w:rPr>
          <w:rFonts w:ascii="Aptos Display" w:hAnsi="Aptos Display"/>
          <w:color w:val="1F4E79"/>
          <w:sz w:val="36"/>
        </w:rPr>
        <w:t>9. Suggested Metrics Dashboard</w:t>
      </w:r>
    </w:p>
    <w:p>
      <w:pPr>
        <w:spacing w:after="120"/>
      </w:pPr>
      <w:r>
        <w:rPr>
          <w:rFonts w:ascii="Aptos" w:hAnsi="Aptos"/>
          <w:sz w:val="20"/>
        </w:rPr>
        <w:t>These metrics are the scoreboard. Without them, it will be impossible to know whether the system is actually getting better or just moving work around.</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rPr>
          <w:tblHeader w:val="true"/>
        </w:trPr>
        <w:tc>
          <w:tcPr>
            <w:tcW w:type="dxa" w:w="2376"/>
            <w:vAlign w:val="top"/>
            <w:shd w:fill="1F4E79"/>
          </w:tcPr>
          <w:p>
            <w:r/>
            <w:r>
              <w:rPr>
                <w:b/>
                <w:color w:val="FFFFFF"/>
                <w:sz w:val="16"/>
              </w:rPr>
              <w:t>Metric</w:t>
            </w:r>
          </w:p>
        </w:tc>
        <w:tc>
          <w:tcPr>
            <w:tcW w:type="dxa" w:w="4104"/>
            <w:vAlign w:val="top"/>
            <w:shd w:fill="1F4E79"/>
          </w:tcPr>
          <w:p>
            <w:r/>
            <w:r>
              <w:rPr>
                <w:b/>
                <w:color w:val="FFFFFF"/>
                <w:sz w:val="16"/>
              </w:rPr>
              <w:t>Definition</w:t>
            </w:r>
          </w:p>
        </w:tc>
        <w:tc>
          <w:tcPr>
            <w:tcW w:type="dxa" w:w="4104"/>
            <w:vAlign w:val="top"/>
            <w:shd w:fill="1F4E79"/>
          </w:tcPr>
          <w:p>
            <w:r/>
            <w:r>
              <w:rPr>
                <w:b/>
                <w:color w:val="FFFFFF"/>
                <w:sz w:val="16"/>
              </w:rPr>
              <w:t>Why it matters</w:t>
            </w:r>
          </w:p>
        </w:tc>
      </w:tr>
      <w:tr>
        <w:tc>
          <w:tcPr>
            <w:tcW w:type="dxa" w:w="2376"/>
            <w:vAlign w:val="top"/>
          </w:tcPr>
          <w:p>
            <w:r/>
            <w:r>
              <w:rPr>
                <w:b w:val="0"/>
                <w:sz w:val="16"/>
              </w:rPr>
              <w:t>Automation acceptance rate</w:t>
            </w:r>
          </w:p>
        </w:tc>
        <w:tc>
          <w:tcPr>
            <w:tcW w:type="dxa" w:w="4104"/>
            <w:vAlign w:val="top"/>
          </w:tcPr>
          <w:p>
            <w:r/>
            <w:r>
              <w:rPr>
                <w:b w:val="0"/>
                <w:sz w:val="16"/>
              </w:rPr>
              <w:t>Percent of KPI emails that become normal cases without manual review.</w:t>
            </w:r>
          </w:p>
        </w:tc>
        <w:tc>
          <w:tcPr>
            <w:tcW w:type="dxa" w:w="4104"/>
            <w:vAlign w:val="top"/>
          </w:tcPr>
          <w:p>
            <w:r/>
            <w:r>
              <w:rPr>
                <w:b w:val="0"/>
                <w:sz w:val="16"/>
              </w:rPr>
              <w:t>Should rise as parsers and aliases improve.</w:t>
            </w:r>
          </w:p>
        </w:tc>
      </w:tr>
      <w:tr>
        <w:tc>
          <w:tcPr>
            <w:tcW w:type="dxa" w:w="2376"/>
            <w:vAlign w:val="top"/>
          </w:tcPr>
          <w:p>
            <w:r/>
            <w:r>
              <w:rPr>
                <w:b w:val="0"/>
                <w:sz w:val="16"/>
              </w:rPr>
              <w:t>Manual review rate by reason</w:t>
            </w:r>
          </w:p>
        </w:tc>
        <w:tc>
          <w:tcPr>
            <w:tcW w:type="dxa" w:w="4104"/>
            <w:vAlign w:val="top"/>
          </w:tcPr>
          <w:p>
            <w:r/>
            <w:r>
              <w:rPr>
                <w:b w:val="0"/>
                <w:sz w:val="16"/>
              </w:rPr>
              <w:t>Review items split by stable reason code.</w:t>
            </w:r>
          </w:p>
        </w:tc>
        <w:tc>
          <w:tcPr>
            <w:tcW w:type="dxa" w:w="4104"/>
            <w:vAlign w:val="top"/>
          </w:tcPr>
          <w:p>
            <w:r/>
            <w:r>
              <w:rPr>
                <w:b w:val="0"/>
                <w:sz w:val="16"/>
              </w:rPr>
              <w:t>This is the main map of what to fix next.</w:t>
            </w:r>
          </w:p>
        </w:tc>
      </w:tr>
      <w:tr>
        <w:tc>
          <w:tcPr>
            <w:tcW w:type="dxa" w:w="2376"/>
            <w:vAlign w:val="top"/>
          </w:tcPr>
          <w:p>
            <w:r/>
            <w:r>
              <w:rPr>
                <w:b w:val="0"/>
                <w:sz w:val="16"/>
              </w:rPr>
              <w:t>Unsupported KPI volume</w:t>
            </w:r>
          </w:p>
        </w:tc>
        <w:tc>
          <w:tcPr>
            <w:tcW w:type="dxa" w:w="4104"/>
            <w:vAlign w:val="top"/>
          </w:tcPr>
          <w:p>
            <w:r/>
            <w:r>
              <w:rPr>
                <w:b w:val="0"/>
                <w:sz w:val="16"/>
              </w:rPr>
              <w:t>Count by unsupported family.</w:t>
            </w:r>
          </w:p>
        </w:tc>
        <w:tc>
          <w:tcPr>
            <w:tcW w:type="dxa" w:w="4104"/>
            <w:vAlign w:val="top"/>
          </w:tcPr>
          <w:p>
            <w:r/>
            <w:r>
              <w:rPr>
                <w:b w:val="0"/>
                <w:sz w:val="16"/>
              </w:rPr>
              <w:t>Ranks the next case types to implement.</w:t>
            </w:r>
          </w:p>
        </w:tc>
      </w:tr>
      <w:tr>
        <w:tc>
          <w:tcPr>
            <w:tcW w:type="dxa" w:w="2376"/>
            <w:vAlign w:val="top"/>
          </w:tcPr>
          <w:p>
            <w:r/>
            <w:r>
              <w:rPr>
                <w:b w:val="0"/>
                <w:sz w:val="16"/>
              </w:rPr>
              <w:t>Extraction completeness</w:t>
            </w:r>
          </w:p>
        </w:tc>
        <w:tc>
          <w:tcPr>
            <w:tcW w:type="dxa" w:w="4104"/>
            <w:vAlign w:val="top"/>
          </w:tcPr>
          <w:p>
            <w:r/>
            <w:r>
              <w:rPr>
                <w:b w:val="0"/>
                <w:sz w:val="16"/>
              </w:rPr>
              <w:t>Required fields present by case type and parser version.</w:t>
            </w:r>
          </w:p>
        </w:tc>
        <w:tc>
          <w:tcPr>
            <w:tcW w:type="dxa" w:w="4104"/>
            <w:vAlign w:val="top"/>
          </w:tcPr>
          <w:p>
            <w:r/>
            <w:r>
              <w:rPr>
                <w:b w:val="0"/>
                <w:sz w:val="16"/>
              </w:rPr>
              <w:t>Shows parser quality without guessing.</w:t>
            </w:r>
          </w:p>
        </w:tc>
      </w:tr>
      <w:tr>
        <w:tc>
          <w:tcPr>
            <w:tcW w:type="dxa" w:w="2376"/>
            <w:vAlign w:val="top"/>
          </w:tcPr>
          <w:p>
            <w:r/>
            <w:r>
              <w:rPr>
                <w:b w:val="0"/>
                <w:sz w:val="16"/>
              </w:rPr>
              <w:t>Grouping collision rate</w:t>
            </w:r>
          </w:p>
        </w:tc>
        <w:tc>
          <w:tcPr>
            <w:tcW w:type="dxa" w:w="4104"/>
            <w:vAlign w:val="top"/>
          </w:tcPr>
          <w:p>
            <w:r/>
            <w:r>
              <w:rPr>
                <w:b w:val="0"/>
                <w:sz w:val="16"/>
              </w:rPr>
              <w:t>Cases where one grouping key receives conflicting facts.</w:t>
            </w:r>
          </w:p>
        </w:tc>
        <w:tc>
          <w:tcPr>
            <w:tcW w:type="dxa" w:w="4104"/>
            <w:vAlign w:val="top"/>
          </w:tcPr>
          <w:p>
            <w:r/>
            <w:r>
              <w:rPr>
                <w:b w:val="0"/>
                <w:sz w:val="16"/>
              </w:rPr>
              <w:t>Catches dangerous deduplication errors.</w:t>
            </w:r>
          </w:p>
        </w:tc>
      </w:tr>
      <w:tr>
        <w:tc>
          <w:tcPr>
            <w:tcW w:type="dxa" w:w="2376"/>
            <w:vAlign w:val="top"/>
          </w:tcPr>
          <w:p>
            <w:r/>
            <w:r>
              <w:rPr>
                <w:b w:val="0"/>
                <w:sz w:val="16"/>
              </w:rPr>
              <w:t>Duplicate suppression rate</w:t>
            </w:r>
          </w:p>
        </w:tc>
        <w:tc>
          <w:tcPr>
            <w:tcW w:type="dxa" w:w="4104"/>
            <w:vAlign w:val="top"/>
          </w:tcPr>
          <w:p>
            <w:r/>
            <w:r>
              <w:rPr>
                <w:b w:val="0"/>
                <w:sz w:val="16"/>
              </w:rPr>
              <w:t>Number of duplicate alerts safely grouped into existing cases.</w:t>
            </w:r>
          </w:p>
        </w:tc>
        <w:tc>
          <w:tcPr>
            <w:tcW w:type="dxa" w:w="4104"/>
            <w:vAlign w:val="top"/>
          </w:tcPr>
          <w:p>
            <w:r/>
            <w:r>
              <w:rPr>
                <w:b w:val="0"/>
                <w:sz w:val="16"/>
              </w:rPr>
              <w:t>Measures noise reduction value.</w:t>
            </w:r>
          </w:p>
        </w:tc>
      </w:tr>
      <w:tr>
        <w:tc>
          <w:tcPr>
            <w:tcW w:type="dxa" w:w="2376"/>
            <w:vAlign w:val="top"/>
          </w:tcPr>
          <w:p>
            <w:r/>
            <w:r>
              <w:rPr>
                <w:b w:val="0"/>
                <w:sz w:val="16"/>
              </w:rPr>
              <w:t>Time to first action</w:t>
            </w:r>
          </w:p>
        </w:tc>
        <w:tc>
          <w:tcPr>
            <w:tcW w:type="dxa" w:w="4104"/>
            <w:vAlign w:val="top"/>
          </w:tcPr>
          <w:p>
            <w:r/>
            <w:r>
              <w:rPr>
                <w:b w:val="0"/>
                <w:sz w:val="16"/>
              </w:rPr>
              <w:t>Email received to case created, review assigned, or draft created.</w:t>
            </w:r>
          </w:p>
        </w:tc>
        <w:tc>
          <w:tcPr>
            <w:tcW w:type="dxa" w:w="4104"/>
            <w:vAlign w:val="top"/>
          </w:tcPr>
          <w:p>
            <w:r/>
            <w:r>
              <w:rPr>
                <w:b w:val="0"/>
                <w:sz w:val="16"/>
              </w:rPr>
              <w:t>Shows operational responsiveness.</w:t>
            </w:r>
          </w:p>
        </w:tc>
      </w:tr>
      <w:tr>
        <w:tc>
          <w:tcPr>
            <w:tcW w:type="dxa" w:w="2376"/>
            <w:vAlign w:val="top"/>
          </w:tcPr>
          <w:p>
            <w:r/>
            <w:r>
              <w:rPr>
                <w:b w:val="0"/>
                <w:sz w:val="16"/>
              </w:rPr>
              <w:t>Follow-up compliance</w:t>
            </w:r>
          </w:p>
        </w:tc>
        <w:tc>
          <w:tcPr>
            <w:tcW w:type="dxa" w:w="4104"/>
            <w:vAlign w:val="top"/>
          </w:tcPr>
          <w:p>
            <w:r/>
            <w:r>
              <w:rPr>
                <w:b w:val="0"/>
                <w:sz w:val="16"/>
              </w:rPr>
              <w:t>Overdue follow-ups processed on schedule.</w:t>
            </w:r>
          </w:p>
        </w:tc>
        <w:tc>
          <w:tcPr>
            <w:tcW w:type="dxa" w:w="4104"/>
            <w:vAlign w:val="top"/>
          </w:tcPr>
          <w:p>
            <w:r/>
            <w:r>
              <w:rPr>
                <w:b w:val="0"/>
                <w:sz w:val="16"/>
              </w:rPr>
              <w:t>Validates scheduler and worker health.</w:t>
            </w:r>
          </w:p>
        </w:tc>
      </w:tr>
      <w:tr>
        <w:tc>
          <w:tcPr>
            <w:tcW w:type="dxa" w:w="2376"/>
            <w:vAlign w:val="top"/>
          </w:tcPr>
          <w:p>
            <w:r/>
            <w:r>
              <w:rPr>
                <w:b w:val="0"/>
                <w:sz w:val="16"/>
              </w:rPr>
              <w:t>Escalation accuracy</w:t>
            </w:r>
          </w:p>
        </w:tc>
        <w:tc>
          <w:tcPr>
            <w:tcW w:type="dxa" w:w="4104"/>
            <w:vAlign w:val="top"/>
          </w:tcPr>
          <w:p>
            <w:r/>
            <w:r>
              <w:rPr>
                <w:b w:val="0"/>
                <w:sz w:val="16"/>
              </w:rPr>
              <w:t>Escalations that reviewers agree were appropriate.</w:t>
            </w:r>
          </w:p>
        </w:tc>
        <w:tc>
          <w:tcPr>
            <w:tcW w:type="dxa" w:w="4104"/>
            <w:vAlign w:val="top"/>
          </w:tcPr>
          <w:p>
            <w:r/>
            <w:r>
              <w:rPr>
                <w:b w:val="0"/>
                <w:sz w:val="16"/>
              </w:rPr>
              <w:t>Prevents alert fatigue.</w:t>
            </w:r>
          </w:p>
        </w:tc>
      </w:tr>
      <w:tr>
        <w:tc>
          <w:tcPr>
            <w:tcW w:type="dxa" w:w="2376"/>
            <w:vAlign w:val="top"/>
          </w:tcPr>
          <w:p>
            <w:r/>
            <w:r>
              <w:rPr>
                <w:b w:val="0"/>
                <w:sz w:val="16"/>
              </w:rPr>
              <w:t>AI calls per 100 emails</w:t>
            </w:r>
          </w:p>
        </w:tc>
        <w:tc>
          <w:tcPr>
            <w:tcW w:type="dxa" w:w="4104"/>
            <w:vAlign w:val="top"/>
          </w:tcPr>
          <w:p>
            <w:r/>
            <w:r>
              <w:rPr>
                <w:b w:val="0"/>
                <w:sz w:val="16"/>
              </w:rPr>
              <w:t>Live, cached, blocked, and skipped AI calls.</w:t>
            </w:r>
          </w:p>
        </w:tc>
        <w:tc>
          <w:tcPr>
            <w:tcW w:type="dxa" w:w="4104"/>
            <w:vAlign w:val="top"/>
          </w:tcPr>
          <w:p>
            <w:r/>
            <w:r>
              <w:rPr>
                <w:b w:val="0"/>
                <w:sz w:val="16"/>
              </w:rPr>
              <w:t>Keeps cost and dependency visible.</w:t>
            </w:r>
          </w:p>
        </w:tc>
      </w:tr>
      <w:tr>
        <w:tc>
          <w:tcPr>
            <w:tcW w:type="dxa" w:w="2376"/>
            <w:vAlign w:val="top"/>
          </w:tcPr>
          <w:p>
            <w:r/>
            <w:r>
              <w:rPr>
                <w:b w:val="0"/>
                <w:sz w:val="16"/>
              </w:rPr>
              <w:t>AI correction rate</w:t>
            </w:r>
          </w:p>
        </w:tc>
        <w:tc>
          <w:tcPr>
            <w:tcW w:type="dxa" w:w="4104"/>
            <w:vAlign w:val="top"/>
          </w:tcPr>
          <w:p>
            <w:r/>
            <w:r>
              <w:rPr>
                <w:b w:val="0"/>
                <w:sz w:val="16"/>
              </w:rPr>
              <w:t>Percent of AI outputs corrected by humans.</w:t>
            </w:r>
          </w:p>
        </w:tc>
        <w:tc>
          <w:tcPr>
            <w:tcW w:type="dxa" w:w="4104"/>
            <w:vAlign w:val="top"/>
          </w:tcPr>
          <w:p>
            <w:r/>
            <w:r>
              <w:rPr>
                <w:b w:val="0"/>
                <w:sz w:val="16"/>
              </w:rPr>
              <w:t>Quality governance, not vibes.</w:t>
            </w:r>
          </w:p>
        </w:tc>
      </w:tr>
      <w:tr>
        <w:tc>
          <w:tcPr>
            <w:tcW w:type="dxa" w:w="2376"/>
            <w:vAlign w:val="top"/>
          </w:tcPr>
          <w:p>
            <w:r/>
            <w:r>
              <w:rPr>
                <w:b w:val="0"/>
                <w:sz w:val="16"/>
              </w:rPr>
              <w:t>Outbound safety incidents</w:t>
            </w:r>
          </w:p>
        </w:tc>
        <w:tc>
          <w:tcPr>
            <w:tcW w:type="dxa" w:w="4104"/>
            <w:vAlign w:val="top"/>
          </w:tcPr>
          <w:p>
            <w:r/>
            <w:r>
              <w:rPr>
                <w:b w:val="0"/>
                <w:sz w:val="16"/>
              </w:rPr>
              <w:t>Wrong recipient, wrong client, wrong case facts, missing approval, or failed send.</w:t>
            </w:r>
          </w:p>
        </w:tc>
        <w:tc>
          <w:tcPr>
            <w:tcW w:type="dxa" w:w="4104"/>
            <w:vAlign w:val="top"/>
          </w:tcPr>
          <w:p>
            <w:r/>
            <w:r>
              <w:rPr>
                <w:b w:val="0"/>
                <w:sz w:val="16"/>
              </w:rPr>
              <w:t>Should be zero. If not, stop auto-send.</w:t>
            </w:r>
          </w:p>
        </w:tc>
      </w:tr>
    </w:tbl>
    <w:p/>
    <w:p>
      <w:pPr>
        <w:pStyle w:val="Heading1"/>
      </w:pPr>
      <w:r>
        <w:rPr>
          <w:rFonts w:ascii="Aptos Display" w:hAnsi="Aptos Display"/>
          <w:color w:val="1F4E79"/>
          <w:sz w:val="36"/>
        </w:rPr>
        <w:t>10. What Not To Do</w:t>
      </w:r>
    </w:p>
    <w:p>
      <w:pPr>
        <w:pStyle w:val="ListBullet"/>
        <w:spacing w:after="40"/>
      </w:pPr>
      <w:r>
        <w:rPr>
          <w:rFonts w:ascii="Aptos" w:hAnsi="Aptos"/>
          <w:sz w:val="19"/>
        </w:rPr>
        <w:t>Do not solve review volume by blindly enabling uncapped AI.</w:t>
      </w:r>
    </w:p>
    <w:p>
      <w:pPr>
        <w:pStyle w:val="ListBullet"/>
        <w:spacing w:after="40"/>
      </w:pPr>
      <w:r>
        <w:rPr>
          <w:rFonts w:ascii="Aptos" w:hAnsi="Aptos"/>
          <w:sz w:val="19"/>
        </w:rPr>
        <w:t>Do not turn on live sending until contact resolution and approval policy are real.</w:t>
      </w:r>
    </w:p>
    <w:p>
      <w:pPr>
        <w:pStyle w:val="ListBullet"/>
        <w:spacing w:after="40"/>
      </w:pPr>
      <w:r>
        <w:rPr>
          <w:rFonts w:ascii="Aptos" w:hAnsi="Aptos"/>
          <w:sz w:val="19"/>
        </w:rPr>
        <w:t>Do not bury business policy deeper in Python constants.</w:t>
      </w:r>
    </w:p>
    <w:p>
      <w:pPr>
        <w:pStyle w:val="ListBullet"/>
        <w:spacing w:after="40"/>
      </w:pPr>
      <w:r>
        <w:rPr>
          <w:rFonts w:ascii="Aptos" w:hAnsi="Aptos"/>
          <w:sz w:val="19"/>
        </w:rPr>
        <w:t>Do not let backlog imports trigger current operational escalation without a clear historical cutoff.</w:t>
      </w:r>
    </w:p>
    <w:p>
      <w:pPr>
        <w:pStyle w:val="ListBullet"/>
        <w:spacing w:after="40"/>
      </w:pPr>
      <w:r>
        <w:rPr>
          <w:rFonts w:ascii="Aptos" w:hAnsi="Aptos"/>
          <w:sz w:val="19"/>
        </w:rPr>
        <w:t>Do not treat pattern flags as proof. They are signals that require evidence and review.</w:t>
      </w:r>
    </w:p>
    <w:p>
      <w:pPr>
        <w:pStyle w:val="ListBullet"/>
        <w:spacing w:after="40"/>
      </w:pPr>
      <w:r>
        <w:rPr>
          <w:rFonts w:ascii="Aptos" w:hAnsi="Aptos"/>
          <w:sz w:val="19"/>
        </w:rPr>
        <w:t>Do not rely on subject lines alone for critical classification.</w:t>
      </w:r>
    </w:p>
    <w:p>
      <w:pPr>
        <w:pStyle w:val="ListBullet"/>
        <w:spacing w:after="40"/>
      </w:pPr>
      <w:r>
        <w:rPr>
          <w:rFonts w:ascii="Aptos" w:hAnsi="Aptos"/>
          <w:sz w:val="19"/>
        </w:rPr>
        <w:t>Do not keep raw email data forever without a retention policy.</w:t>
      </w:r>
    </w:p>
    <w:p>
      <w:pPr>
        <w:pStyle w:val="ListBullet"/>
        <w:spacing w:after="40"/>
      </w:pPr>
      <w:r>
        <w:rPr>
          <w:rFonts w:ascii="Aptos" w:hAnsi="Aptos"/>
          <w:sz w:val="19"/>
        </w:rPr>
        <w:t>Do not deploy the combined Flask, scheduler, IMAP, SQLite process as if it were production architecture.</w:t>
      </w:r>
    </w:p>
    <w:p>
      <w:pPr>
        <w:pStyle w:val="Heading1"/>
      </w:pPr>
      <w:r>
        <w:rPr>
          <w:rFonts w:ascii="Aptos Display" w:hAnsi="Aptos Display"/>
          <w:color w:val="1F4E79"/>
          <w:sz w:val="36"/>
        </w:rPr>
        <w:t>11. Prioritized Roadmap</w:t>
      </w:r>
    </w:p>
    <w:p>
      <w:pPr>
        <w:spacing w:after="120"/>
      </w:pPr>
      <w:r>
        <w:rPr>
          <w:rFonts w:ascii="Aptos" w:hAnsi="Aptos"/>
          <w:sz w:val="20"/>
        </w:rPr>
        <w:t>The roadmap below assumes the goal is to move from MVP/demo to a safe internal pilot and then toward production. The ordering matters. Routing, review, and policy should come before cleverer AI.</w:t>
      </w:r>
    </w:p>
    <w:p>
      <w:pPr>
        <w:pStyle w:val="Heading2"/>
      </w:pPr>
      <w:r>
        <w:rPr>
          <w:rFonts w:ascii="Aptos Display" w:hAnsi="Aptos Display"/>
          <w:color w:val="2F5496"/>
          <w:sz w:val="28"/>
        </w:rPr>
        <w:t>Next 30 Days</w:t>
      </w:r>
    </w:p>
    <w:p>
      <w:pPr>
        <w:pStyle w:val="ListBullet"/>
        <w:spacing w:after="40"/>
      </w:pPr>
      <w:r>
        <w:rPr>
          <w:rFonts w:ascii="Aptos" w:hAnsi="Aptos"/>
          <w:sz w:val="19"/>
        </w:rPr>
        <w:t>Create stable review reason codes and review queues.</w:t>
      </w:r>
    </w:p>
    <w:p>
      <w:pPr>
        <w:pStyle w:val="ListBullet"/>
        <w:spacing w:after="40"/>
      </w:pPr>
      <w:r>
        <w:rPr>
          <w:rFonts w:ascii="Aptos" w:hAnsi="Aptos"/>
          <w:sz w:val="19"/>
        </w:rPr>
        <w:t>Add a contact/routing registry, even if initially CSV-backed.</w:t>
      </w:r>
    </w:p>
    <w:p>
      <w:pPr>
        <w:pStyle w:val="ListBullet"/>
        <w:spacing w:after="40"/>
      </w:pPr>
      <w:r>
        <w:rPr>
          <w:rFonts w:ascii="Aptos" w:hAnsi="Aptos"/>
          <w:sz w:val="19"/>
        </w:rPr>
        <w:t>Move case type policy into a versioned YAML or JSON registry.</w:t>
      </w:r>
    </w:p>
    <w:p>
      <w:pPr>
        <w:pStyle w:val="ListBullet"/>
        <w:spacing w:after="40"/>
      </w:pPr>
      <w:r>
        <w:rPr>
          <w:rFonts w:ascii="Aptos" w:hAnsi="Aptos"/>
          <w:sz w:val="19"/>
        </w:rPr>
        <w:t>Add parser regression tests with real redacted emails.</w:t>
      </w:r>
    </w:p>
    <w:p>
      <w:pPr>
        <w:pStyle w:val="ListBullet"/>
        <w:spacing w:after="40"/>
      </w:pPr>
      <w:r>
        <w:rPr>
          <w:rFonts w:ascii="Aptos" w:hAnsi="Aptos"/>
          <w:sz w:val="19"/>
        </w:rPr>
        <w:t>Add structured logging and basic metrics.</w:t>
      </w:r>
    </w:p>
    <w:p>
      <w:pPr>
        <w:pStyle w:val="ListBullet"/>
        <w:spacing w:after="40"/>
      </w:pPr>
      <w:r>
        <w:rPr>
          <w:rFonts w:ascii="Aptos" w:hAnsi="Aptos"/>
          <w:sz w:val="19"/>
        </w:rPr>
        <w:t>Clean obvious code smells and create enums/constants for statuses and event types.</w:t>
      </w:r>
    </w:p>
    <w:p>
      <w:pPr>
        <w:pStyle w:val="ListBullet"/>
        <w:spacing w:after="40"/>
      </w:pPr>
      <w:r>
        <w:rPr>
          <w:rFonts w:ascii="Aptos" w:hAnsi="Aptos"/>
          <w:sz w:val="19"/>
        </w:rPr>
        <w:t>Make backlog reports more actionable: top parser gaps, unsupported families, and missing fields.</w:t>
      </w:r>
    </w:p>
    <w:p>
      <w:pPr>
        <w:pStyle w:val="ListBullet"/>
        <w:spacing w:after="40"/>
      </w:pPr>
      <w:r>
        <w:rPr>
          <w:rFonts w:ascii="Aptos" w:hAnsi="Aptos"/>
          <w:sz w:val="19"/>
        </w:rPr>
        <w:t>Add manual merge, split, and alias correction workflows, even if CLI-only at first.</w:t>
      </w:r>
    </w:p>
    <w:p>
      <w:pPr>
        <w:pStyle w:val="Heading2"/>
      </w:pPr>
      <w:r>
        <w:rPr>
          <w:rFonts w:ascii="Aptos Display" w:hAnsi="Aptos Display"/>
          <w:color w:val="2F5496"/>
          <w:sz w:val="28"/>
        </w:rPr>
        <w:t>Days 31 to 60</w:t>
      </w:r>
    </w:p>
    <w:p>
      <w:pPr>
        <w:pStyle w:val="ListBullet"/>
        <w:spacing w:after="40"/>
      </w:pPr>
      <w:r>
        <w:rPr>
          <w:rFonts w:ascii="Aptos" w:hAnsi="Aptos"/>
          <w:sz w:val="19"/>
        </w:rPr>
        <w:t>Move from SQLite demo mode toward Postgres with migrations.</w:t>
      </w:r>
    </w:p>
    <w:p>
      <w:pPr>
        <w:pStyle w:val="ListBullet"/>
        <w:spacing w:after="40"/>
      </w:pPr>
      <w:r>
        <w:rPr>
          <w:rFonts w:ascii="Aptos" w:hAnsi="Aptos"/>
          <w:sz w:val="19"/>
        </w:rPr>
        <w:t>Add a queue-backed worker for ingestion and follow-up jobs.</w:t>
      </w:r>
    </w:p>
    <w:p>
      <w:pPr>
        <w:pStyle w:val="ListBullet"/>
        <w:spacing w:after="40"/>
      </w:pPr>
      <w:r>
        <w:rPr>
          <w:rFonts w:ascii="Aptos" w:hAnsi="Aptos"/>
          <w:sz w:val="19"/>
        </w:rPr>
        <w:t>Build a proper review UI with authentication, audit logging, and bulk actions.</w:t>
      </w:r>
    </w:p>
    <w:p>
      <w:pPr>
        <w:pStyle w:val="ListBullet"/>
        <w:spacing w:after="40"/>
      </w:pPr>
      <w:r>
        <w:rPr>
          <w:rFonts w:ascii="Aptos" w:hAnsi="Aptos"/>
          <w:sz w:val="19"/>
        </w:rPr>
        <w:t>Add field provenance and parser versioning.</w:t>
      </w:r>
    </w:p>
    <w:p>
      <w:pPr>
        <w:pStyle w:val="ListBullet"/>
        <w:spacing w:after="40"/>
      </w:pPr>
      <w:r>
        <w:rPr>
          <w:rFonts w:ascii="Aptos" w:hAnsi="Aptos"/>
          <w:sz w:val="19"/>
        </w:rPr>
        <w:t>Add policy simulation for historical emails before deploying taxonomy changes.</w:t>
      </w:r>
    </w:p>
    <w:p>
      <w:pPr>
        <w:pStyle w:val="ListBullet"/>
        <w:spacing w:after="40"/>
      </w:pPr>
      <w:r>
        <w:rPr>
          <w:rFonts w:ascii="Aptos" w:hAnsi="Aptos"/>
          <w:sz w:val="19"/>
        </w:rPr>
        <w:t>Add AI schema validation, prompt versioning, and evaluation sets.</w:t>
      </w:r>
    </w:p>
    <w:p>
      <w:pPr>
        <w:pStyle w:val="ListBullet"/>
        <w:spacing w:after="40"/>
      </w:pPr>
      <w:r>
        <w:rPr>
          <w:rFonts w:ascii="Aptos" w:hAnsi="Aptos"/>
          <w:sz w:val="19"/>
        </w:rPr>
        <w:t>Add business-calendar follow-up deadlines.</w:t>
      </w:r>
    </w:p>
    <w:p>
      <w:pPr>
        <w:pStyle w:val="Heading2"/>
      </w:pPr>
      <w:r>
        <w:rPr>
          <w:rFonts w:ascii="Aptos Display" w:hAnsi="Aptos Display"/>
          <w:color w:val="2F5496"/>
          <w:sz w:val="28"/>
        </w:rPr>
        <w:t>Days 61 to 90</w:t>
      </w:r>
    </w:p>
    <w:p>
      <w:pPr>
        <w:pStyle w:val="ListBullet"/>
        <w:spacing w:after="40"/>
      </w:pPr>
      <w:r>
        <w:rPr>
          <w:rFonts w:ascii="Aptos" w:hAnsi="Aptos"/>
          <w:sz w:val="19"/>
        </w:rPr>
        <w:t>Deploy a staging environment with realistic redacted data and no live sends.</w:t>
      </w:r>
    </w:p>
    <w:p>
      <w:pPr>
        <w:pStyle w:val="ListBullet"/>
        <w:spacing w:after="40"/>
      </w:pPr>
      <w:r>
        <w:rPr>
          <w:rFonts w:ascii="Aptos" w:hAnsi="Aptos"/>
          <w:sz w:val="19"/>
        </w:rPr>
        <w:t>Add contact resolution, client visibility policy, and approval-gated sending.</w:t>
      </w:r>
    </w:p>
    <w:p>
      <w:pPr>
        <w:pStyle w:val="ListBullet"/>
        <w:spacing w:after="40"/>
      </w:pPr>
      <w:r>
        <w:rPr>
          <w:rFonts w:ascii="Aptos" w:hAnsi="Aptos"/>
          <w:sz w:val="19"/>
        </w:rPr>
        <w:t>Implement automatic reply threading and structured reply interpretation.</w:t>
      </w:r>
    </w:p>
    <w:p>
      <w:pPr>
        <w:pStyle w:val="ListBullet"/>
        <w:spacing w:after="40"/>
      </w:pPr>
      <w:r>
        <w:rPr>
          <w:rFonts w:ascii="Aptos" w:hAnsi="Aptos"/>
          <w:sz w:val="19"/>
        </w:rPr>
        <w:t>Build observability dashboards for automation yield and review load.</w:t>
      </w:r>
    </w:p>
    <w:p>
      <w:pPr>
        <w:pStyle w:val="ListBullet"/>
        <w:spacing w:after="40"/>
      </w:pPr>
      <w:r>
        <w:rPr>
          <w:rFonts w:ascii="Aptos" w:hAnsi="Aptos"/>
          <w:sz w:val="19"/>
        </w:rPr>
        <w:t>Add pattern feedback controls and memory decay rules.</w:t>
      </w:r>
    </w:p>
    <w:p>
      <w:pPr>
        <w:pStyle w:val="ListBullet"/>
        <w:spacing w:after="40"/>
      </w:pPr>
      <w:r>
        <w:rPr>
          <w:rFonts w:ascii="Aptos" w:hAnsi="Aptos"/>
          <w:sz w:val="19"/>
        </w:rPr>
        <w:t>Expand supported case families based on backlog frequency and business value.</w:t>
      </w:r>
    </w:p>
    <w:p>
      <w:pPr>
        <w:pStyle w:val="Heading2"/>
      </w:pPr>
      <w:r>
        <w:rPr>
          <w:rFonts w:ascii="Aptos Display" w:hAnsi="Aptos Display"/>
          <w:color w:val="2F5496"/>
          <w:sz w:val="28"/>
        </w:rPr>
        <w:t>After 90 Days</w:t>
      </w:r>
    </w:p>
    <w:p>
      <w:pPr>
        <w:pStyle w:val="ListBullet"/>
        <w:spacing w:after="40"/>
      </w:pPr>
      <w:r>
        <w:rPr>
          <w:rFonts w:ascii="Aptos" w:hAnsi="Aptos"/>
          <w:sz w:val="19"/>
        </w:rPr>
        <w:t>Production deployment with Postgres, separate workers, backups, monitoring, and incident runbooks.</w:t>
      </w:r>
    </w:p>
    <w:p>
      <w:pPr>
        <w:pStyle w:val="ListBullet"/>
        <w:spacing w:after="40"/>
      </w:pPr>
      <w:r>
        <w:rPr>
          <w:rFonts w:ascii="Aptos" w:hAnsi="Aptos"/>
          <w:sz w:val="19"/>
        </w:rPr>
        <w:t>Admin policy editor for taxonomy, routing, templates, and escalation rules.</w:t>
      </w:r>
    </w:p>
    <w:p>
      <w:pPr>
        <w:pStyle w:val="ListBullet"/>
        <w:spacing w:after="40"/>
      </w:pPr>
      <w:r>
        <w:rPr>
          <w:rFonts w:ascii="Aptos" w:hAnsi="Aptos"/>
          <w:sz w:val="19"/>
        </w:rPr>
        <w:t>Automated parser learning loop from manual corrections.</w:t>
      </w:r>
    </w:p>
    <w:p>
      <w:pPr>
        <w:pStyle w:val="ListBullet"/>
        <w:spacing w:after="40"/>
      </w:pPr>
      <w:r>
        <w:rPr>
          <w:rFonts w:ascii="Aptos" w:hAnsi="Aptos"/>
          <w:sz w:val="19"/>
        </w:rPr>
        <w:t>Advanced analytics for contractor responsiveness, recurring issues, and portfolio risk.</w:t>
      </w:r>
    </w:p>
    <w:p>
      <w:pPr>
        <w:pStyle w:val="ListBullet"/>
        <w:spacing w:after="40"/>
      </w:pPr>
      <w:r>
        <w:rPr>
          <w:rFonts w:ascii="Aptos" w:hAnsi="Aptos"/>
          <w:sz w:val="19"/>
        </w:rPr>
        <w:t>Continuous evaluation harness comparing deterministic, AI-assisted, and human-corrected outcomes.</w:t>
      </w:r>
    </w:p>
    <w:p>
      <w:pPr>
        <w:pStyle w:val="Heading1"/>
      </w:pPr>
      <w:r>
        <w:rPr>
          <w:rFonts w:ascii="Aptos Display" w:hAnsi="Aptos Display"/>
          <w:color w:val="1F4E79"/>
          <w:sz w:val="36"/>
        </w:rPr>
        <w:t>12. Recommended First Ten Tickets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rPr>
          <w:tblHeader w:val="true"/>
        </w:trPr>
        <w:tc>
          <w:tcPr>
            <w:tcW w:type="dxa" w:w="720"/>
            <w:vAlign w:val="top"/>
            <w:shd w:fill="1F4E79"/>
          </w:tcPr>
          <w:p>
            <w:r/>
            <w:r>
              <w:rPr>
                <w:b/>
                <w:color w:val="FFFFFF"/>
                <w:sz w:val="17"/>
              </w:rPr>
              <w:t>Rank</w:t>
            </w:r>
          </w:p>
        </w:tc>
        <w:tc>
          <w:tcPr>
            <w:tcW w:type="dxa" w:w="7776"/>
            <w:vAlign w:val="top"/>
            <w:shd w:fill="1F4E79"/>
          </w:tcPr>
          <w:p>
            <w:r/>
            <w:r>
              <w:rPr>
                <w:b/>
                <w:color w:val="FFFFFF"/>
                <w:sz w:val="17"/>
              </w:rPr>
              <w:t>Ticket</w:t>
            </w:r>
          </w:p>
        </w:tc>
        <w:tc>
          <w:tcPr>
            <w:tcW w:type="dxa" w:w="1728"/>
            <w:vAlign w:val="top"/>
            <w:shd w:fill="1F4E79"/>
          </w:tcPr>
          <w:p>
            <w:r/>
            <w:r>
              <w:rPr>
                <w:b/>
                <w:color w:val="FFFFFF"/>
                <w:sz w:val="17"/>
              </w:rPr>
              <w:t>Criticality</w:t>
            </w:r>
          </w:p>
        </w:tc>
      </w:tr>
      <w:tr>
        <w:tc>
          <w:tcPr>
            <w:tcW w:type="dxa" w:w="720"/>
            <w:vAlign w:val="top"/>
          </w:tcPr>
          <w:p>
            <w:r/>
            <w:r>
              <w:rPr>
                <w:b w:val="0"/>
                <w:sz w:val="17"/>
              </w:rPr>
              <w:t>1</w:t>
            </w:r>
          </w:p>
        </w:tc>
        <w:tc>
          <w:tcPr>
            <w:tcW w:type="dxa" w:w="7776"/>
            <w:vAlign w:val="top"/>
          </w:tcPr>
          <w:p>
            <w:r/>
            <w:r>
              <w:rPr>
                <w:b w:val="0"/>
                <w:sz w:val="17"/>
              </w:rPr>
              <w:t>Add stable manual review reason codes and queues.</w:t>
            </w:r>
          </w:p>
        </w:tc>
        <w:tc>
          <w:tcPr>
            <w:tcW w:type="dxa" w:w="1728"/>
            <w:vAlign w:val="top"/>
          </w:tcPr>
          <w:p>
            <w:r/>
            <w:r>
              <w:rPr>
                <w:b w:val="0"/>
                <w:sz w:val="17"/>
              </w:rPr>
              <w:t>Blocker</w:t>
            </w:r>
          </w:p>
        </w:tc>
      </w:tr>
      <w:tr>
        <w:tc>
          <w:tcPr>
            <w:tcW w:type="dxa" w:w="720"/>
            <w:vAlign w:val="top"/>
          </w:tcPr>
          <w:p>
            <w:r/>
            <w:r>
              <w:rPr>
                <w:b w:val="0"/>
                <w:sz w:val="17"/>
              </w:rPr>
              <w:t>2</w:t>
            </w:r>
          </w:p>
        </w:tc>
        <w:tc>
          <w:tcPr>
            <w:tcW w:type="dxa" w:w="7776"/>
            <w:vAlign w:val="top"/>
          </w:tcPr>
          <w:p>
            <w:r/>
            <w:r>
              <w:rPr>
                <w:b w:val="0"/>
                <w:sz w:val="17"/>
              </w:rPr>
              <w:t>Create a YAML/JSON case taxonomy registry for supported case types.</w:t>
            </w:r>
          </w:p>
        </w:tc>
        <w:tc>
          <w:tcPr>
            <w:tcW w:type="dxa" w:w="1728"/>
            <w:vAlign w:val="top"/>
          </w:tcPr>
          <w:p>
            <w:r/>
            <w:r>
              <w:rPr>
                <w:b w:val="0"/>
                <w:sz w:val="17"/>
              </w:rPr>
              <w:t>Blocker</w:t>
            </w:r>
          </w:p>
        </w:tc>
      </w:tr>
      <w:tr>
        <w:tc>
          <w:tcPr>
            <w:tcW w:type="dxa" w:w="720"/>
            <w:vAlign w:val="top"/>
          </w:tcPr>
          <w:p>
            <w:r/>
            <w:r>
              <w:rPr>
                <w:b w:val="0"/>
                <w:sz w:val="17"/>
              </w:rPr>
              <w:t>3</w:t>
            </w:r>
          </w:p>
        </w:tc>
        <w:tc>
          <w:tcPr>
            <w:tcW w:type="dxa" w:w="7776"/>
            <w:vAlign w:val="top"/>
          </w:tcPr>
          <w:p>
            <w:r/>
            <w:r>
              <w:rPr>
                <w:b w:val="0"/>
                <w:sz w:val="17"/>
              </w:rPr>
              <w:t>Build a contact/routing registry and stop using placeholder production recipients.</w:t>
            </w:r>
          </w:p>
        </w:tc>
        <w:tc>
          <w:tcPr>
            <w:tcW w:type="dxa" w:w="1728"/>
            <w:vAlign w:val="top"/>
          </w:tcPr>
          <w:p>
            <w:r/>
            <w:r>
              <w:rPr>
                <w:b w:val="0"/>
                <w:sz w:val="17"/>
              </w:rPr>
              <w:t>Blocker</w:t>
            </w:r>
          </w:p>
        </w:tc>
      </w:tr>
      <w:tr>
        <w:tc>
          <w:tcPr>
            <w:tcW w:type="dxa" w:w="720"/>
            <w:vAlign w:val="top"/>
          </w:tcPr>
          <w:p>
            <w:r/>
            <w:r>
              <w:rPr>
                <w:b w:val="0"/>
                <w:sz w:val="17"/>
              </w:rPr>
              <w:t>4</w:t>
            </w:r>
          </w:p>
        </w:tc>
        <w:tc>
          <w:tcPr>
            <w:tcW w:type="dxa" w:w="7776"/>
            <w:vAlign w:val="top"/>
          </w:tcPr>
          <w:p>
            <w:r/>
            <w:r>
              <w:rPr>
                <w:b w:val="0"/>
                <w:sz w:val="17"/>
              </w:rPr>
              <w:t>Add parser regression tests using redacted real emails.</w:t>
            </w:r>
          </w:p>
        </w:tc>
        <w:tc>
          <w:tcPr>
            <w:tcW w:type="dxa" w:w="1728"/>
            <w:vAlign w:val="top"/>
          </w:tcPr>
          <w:p>
            <w:r/>
            <w:r>
              <w:rPr>
                <w:b w:val="0"/>
                <w:sz w:val="17"/>
              </w:rPr>
              <w:t>High</w:t>
            </w:r>
          </w:p>
        </w:tc>
      </w:tr>
      <w:tr>
        <w:tc>
          <w:tcPr>
            <w:tcW w:type="dxa" w:w="720"/>
            <w:vAlign w:val="top"/>
          </w:tcPr>
          <w:p>
            <w:r/>
            <w:r>
              <w:rPr>
                <w:b w:val="0"/>
                <w:sz w:val="17"/>
              </w:rPr>
              <w:t>5</w:t>
            </w:r>
          </w:p>
        </w:tc>
        <w:tc>
          <w:tcPr>
            <w:tcW w:type="dxa" w:w="7776"/>
            <w:vAlign w:val="top"/>
          </w:tcPr>
          <w:p>
            <w:r/>
            <w:r>
              <w:rPr>
                <w:b w:val="0"/>
                <w:sz w:val="17"/>
              </w:rPr>
              <w:t>Add field provenance and parser version to extracted fields.</w:t>
            </w:r>
          </w:p>
        </w:tc>
        <w:tc>
          <w:tcPr>
            <w:tcW w:type="dxa" w:w="1728"/>
            <w:vAlign w:val="top"/>
          </w:tcPr>
          <w:p>
            <w:r/>
            <w:r>
              <w:rPr>
                <w:b w:val="0"/>
                <w:sz w:val="17"/>
              </w:rPr>
              <w:t>High</w:t>
            </w:r>
          </w:p>
        </w:tc>
      </w:tr>
      <w:tr>
        <w:tc>
          <w:tcPr>
            <w:tcW w:type="dxa" w:w="720"/>
            <w:vAlign w:val="top"/>
          </w:tcPr>
          <w:p>
            <w:r/>
            <w:r>
              <w:rPr>
                <w:b w:val="0"/>
                <w:sz w:val="17"/>
              </w:rPr>
              <w:t>6</w:t>
            </w:r>
          </w:p>
        </w:tc>
        <w:tc>
          <w:tcPr>
            <w:tcW w:type="dxa" w:w="7776"/>
            <w:vAlign w:val="top"/>
          </w:tcPr>
          <w:p>
            <w:r/>
            <w:r>
              <w:rPr>
                <w:b w:val="0"/>
                <w:sz w:val="17"/>
              </w:rPr>
              <w:t>Add structured logging and basic metrics.</w:t>
            </w:r>
          </w:p>
        </w:tc>
        <w:tc>
          <w:tcPr>
            <w:tcW w:type="dxa" w:w="1728"/>
            <w:vAlign w:val="top"/>
          </w:tcPr>
          <w:p>
            <w:r/>
            <w:r>
              <w:rPr>
                <w:b w:val="0"/>
                <w:sz w:val="17"/>
              </w:rPr>
              <w:t>High</w:t>
            </w:r>
          </w:p>
        </w:tc>
      </w:tr>
      <w:tr>
        <w:tc>
          <w:tcPr>
            <w:tcW w:type="dxa" w:w="720"/>
            <w:vAlign w:val="top"/>
          </w:tcPr>
          <w:p>
            <w:r/>
            <w:r>
              <w:rPr>
                <w:b w:val="0"/>
                <w:sz w:val="17"/>
              </w:rPr>
              <w:t>7</w:t>
            </w:r>
          </w:p>
        </w:tc>
        <w:tc>
          <w:tcPr>
            <w:tcW w:type="dxa" w:w="7776"/>
            <w:vAlign w:val="top"/>
          </w:tcPr>
          <w:p>
            <w:r/>
            <w:r>
              <w:rPr>
                <w:b w:val="0"/>
                <w:sz w:val="17"/>
              </w:rPr>
              <w:t>Add policy simulation for backlog dry-runs.</w:t>
            </w:r>
          </w:p>
        </w:tc>
        <w:tc>
          <w:tcPr>
            <w:tcW w:type="dxa" w:w="1728"/>
            <w:vAlign w:val="top"/>
          </w:tcPr>
          <w:p>
            <w:r/>
            <w:r>
              <w:rPr>
                <w:b w:val="0"/>
                <w:sz w:val="17"/>
              </w:rPr>
              <w:t>High</w:t>
            </w:r>
          </w:p>
        </w:tc>
      </w:tr>
      <w:tr>
        <w:tc>
          <w:tcPr>
            <w:tcW w:type="dxa" w:w="720"/>
            <w:vAlign w:val="top"/>
          </w:tcPr>
          <w:p>
            <w:r/>
            <w:r>
              <w:rPr>
                <w:b w:val="0"/>
                <w:sz w:val="17"/>
              </w:rPr>
              <w:t>8</w:t>
            </w:r>
          </w:p>
        </w:tc>
        <w:tc>
          <w:tcPr>
            <w:tcW w:type="dxa" w:w="7776"/>
            <w:vAlign w:val="top"/>
          </w:tcPr>
          <w:p>
            <w:r/>
            <w:r>
              <w:rPr>
                <w:b w:val="0"/>
                <w:sz w:val="17"/>
              </w:rPr>
              <w:t>Clean obvious code smells and centralize enums/constants.</w:t>
            </w:r>
          </w:p>
        </w:tc>
        <w:tc>
          <w:tcPr>
            <w:tcW w:type="dxa" w:w="1728"/>
            <w:vAlign w:val="top"/>
          </w:tcPr>
          <w:p>
            <w:r/>
            <w:r>
              <w:rPr>
                <w:b w:val="0"/>
                <w:sz w:val="17"/>
              </w:rPr>
              <w:t>Medium</w:t>
            </w:r>
          </w:p>
        </w:tc>
      </w:tr>
      <w:tr>
        <w:tc>
          <w:tcPr>
            <w:tcW w:type="dxa" w:w="720"/>
            <w:vAlign w:val="top"/>
          </w:tcPr>
          <w:p>
            <w:r/>
            <w:r>
              <w:rPr>
                <w:b w:val="0"/>
                <w:sz w:val="17"/>
              </w:rPr>
              <w:t>9</w:t>
            </w:r>
          </w:p>
        </w:tc>
        <w:tc>
          <w:tcPr>
            <w:tcW w:type="dxa" w:w="7776"/>
            <w:vAlign w:val="top"/>
          </w:tcPr>
          <w:p>
            <w:r/>
            <w:r>
              <w:rPr>
                <w:b w:val="0"/>
                <w:sz w:val="17"/>
              </w:rPr>
              <w:t>Add merge/split/alias correction workflows for cases and entities.</w:t>
            </w:r>
          </w:p>
        </w:tc>
        <w:tc>
          <w:tcPr>
            <w:tcW w:type="dxa" w:w="1728"/>
            <w:vAlign w:val="top"/>
          </w:tcPr>
          <w:p>
            <w:r/>
            <w:r>
              <w:rPr>
                <w:b w:val="0"/>
                <w:sz w:val="17"/>
              </w:rPr>
              <w:t>High</w:t>
            </w:r>
          </w:p>
        </w:tc>
      </w:tr>
      <w:tr>
        <w:tc>
          <w:tcPr>
            <w:tcW w:type="dxa" w:w="720"/>
            <w:vAlign w:val="top"/>
          </w:tcPr>
          <w:p>
            <w:r/>
            <w:r>
              <w:rPr>
                <w:b w:val="0"/>
                <w:sz w:val="17"/>
              </w:rPr>
              <w:t>10</w:t>
            </w:r>
          </w:p>
        </w:tc>
        <w:tc>
          <w:tcPr>
            <w:tcW w:type="dxa" w:w="7776"/>
            <w:vAlign w:val="top"/>
          </w:tcPr>
          <w:p>
            <w:r/>
            <w:r>
              <w:rPr>
                <w:b w:val="0"/>
                <w:sz w:val="17"/>
              </w:rPr>
              <w:t>Add schema validation for all AI JSON outputs.</w:t>
            </w:r>
          </w:p>
        </w:tc>
        <w:tc>
          <w:tcPr>
            <w:tcW w:type="dxa" w:w="1728"/>
            <w:vAlign w:val="top"/>
          </w:tcPr>
          <w:p>
            <w:r/>
            <w:r>
              <w:rPr>
                <w:b w:val="0"/>
                <w:sz w:val="17"/>
              </w:rPr>
              <w:t>High</w:t>
            </w:r>
          </w:p>
        </w:tc>
      </w:tr>
    </w:tbl>
    <w:p/>
    <w:p>
      <w:pPr>
        <w:pStyle w:val="Heading1"/>
      </w:pPr>
      <w:r>
        <w:rPr>
          <w:rFonts w:ascii="Aptos Display" w:hAnsi="Aptos Display"/>
          <w:color w:val="1F4E79"/>
          <w:sz w:val="36"/>
        </w:rPr>
        <w:t>13. Final Verdict</w:t>
      </w:r>
    </w:p>
    <w:p>
      <w:pPr>
        <w:spacing w:after="120"/>
      </w:pPr>
      <w:r>
        <w:rPr>
          <w:rFonts w:ascii="Aptos" w:hAnsi="Aptos"/>
          <w:sz w:val="20"/>
        </w:rPr>
        <w:t>This project has unusually good safety instincts for an AI-built MVP. That is a real advantage. The right move now is not to chase flashier AI. The right move is to turn the system into a disciplined operations platform: explicit policy, measurable review reduction, real routing, durable data, explainable memory, and safe delivery controls.</w:t>
      </w:r>
    </w:p>
    <w:p>
      <w:pPr>
        <w:spacing w:after="120"/>
      </w:pPr>
      <w:r>
        <w:rPr>
          <w:rFonts w:ascii="Aptos" w:hAnsi="Aptos"/>
          <w:sz w:val="20"/>
        </w:rPr>
        <w:t>The system should earn trust in stages. First, prove it can classify and extract reliably. Then prove it can group and reduce duplicates. Then prove it can route drafts safely. Then prove it can manage follow-ups without creating noise. Only after those are boring should automatic sending or wider AI fallback become serious options.</w:t>
      </w:r>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CE4D6"/>
          </w:tcPr>
          <w:p>
            <w:r/>
            <w:r>
              <w:rPr>
                <w:rFonts w:ascii="Aptos" w:hAnsi="Aptos"/>
                <w:b/>
                <w:sz w:val="21"/>
              </w:rPr>
              <w:t>The blunt version</w:t>
            </w:r>
          </w:p>
          <w:p>
            <w:r>
              <w:rPr>
                <w:rFonts w:ascii="Aptos" w:hAnsi="Aptos"/>
                <w:sz w:val="18"/>
              </w:rPr>
              <w:t>The foundation is good. The danger is premature confidence. Make the boring parts excellent before making the agent more autonomous.</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 Email Handler Overview and Critical Recommendations - Expanded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