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BD1" w:rsidRPr="004971D6" w:rsidRDefault="001739D9" w:rsidP="004971D6">
      <w:pPr>
        <w:rPr>
          <w:rFonts w:ascii="Arial" w:hAnsi="Arial" w:cs="Arial"/>
          <w:b/>
          <w:color w:val="2E74B5" w:themeColor="accent1" w:themeShade="BF"/>
          <w:sz w:val="48"/>
          <w:szCs w:val="48"/>
        </w:rPr>
      </w:pPr>
      <w:r w:rsidRPr="00263D39">
        <w:rPr>
          <w:rFonts w:ascii="Arial" w:hAnsi="Arial" w:cs="Arial"/>
          <w:b/>
          <w:color w:val="2E74B5" w:themeColor="accent1" w:themeShade="BF"/>
          <w:sz w:val="48"/>
          <w:szCs w:val="48"/>
        </w:rPr>
        <w:t>Clinical Query 2 (CQ2)</w:t>
      </w:r>
    </w:p>
    <w:p w:rsidR="001739D9" w:rsidRDefault="007A0516" w:rsidP="00FA0BD1">
      <w:pPr>
        <w:spacing w:after="0" w:line="240" w:lineRule="auto"/>
        <w:rPr>
          <w:rFonts w:ascii="Arial" w:hAnsi="Arial" w:cs="Arial"/>
        </w:rPr>
      </w:pPr>
      <w:r>
        <w:rPr>
          <w:rFonts w:ascii="Arial" w:hAnsi="Arial" w:cs="Arial"/>
        </w:rPr>
        <w:t>Version 1.0.</w:t>
      </w:r>
      <w:r w:rsidR="00AB5722">
        <w:rPr>
          <w:rFonts w:ascii="Arial" w:hAnsi="Arial" w:cs="Arial"/>
        </w:rPr>
        <w:t>1</w:t>
      </w:r>
    </w:p>
    <w:p w:rsidR="007A0516" w:rsidRDefault="00AB5722" w:rsidP="00FA0BD1">
      <w:pPr>
        <w:spacing w:after="0" w:line="240" w:lineRule="auto"/>
        <w:rPr>
          <w:rFonts w:ascii="Arial" w:hAnsi="Arial" w:cs="Arial"/>
        </w:rPr>
      </w:pPr>
      <w:r>
        <w:rPr>
          <w:rFonts w:ascii="Arial" w:hAnsi="Arial" w:cs="Arial"/>
        </w:rPr>
        <w:t>September</w:t>
      </w:r>
      <w:r w:rsidR="007A0516">
        <w:rPr>
          <w:rFonts w:ascii="Arial" w:hAnsi="Arial" w:cs="Arial"/>
        </w:rPr>
        <w:t xml:space="preserve"> </w:t>
      </w:r>
      <w:r w:rsidR="00160673">
        <w:rPr>
          <w:rFonts w:ascii="Arial" w:hAnsi="Arial" w:cs="Arial"/>
        </w:rPr>
        <w:t>24</w:t>
      </w:r>
      <w:r w:rsidR="00166F7C">
        <w:rPr>
          <w:rFonts w:ascii="Arial" w:hAnsi="Arial" w:cs="Arial"/>
        </w:rPr>
        <w:t>,</w:t>
      </w:r>
      <w:r w:rsidR="007A0516">
        <w:rPr>
          <w:rFonts w:ascii="Arial" w:hAnsi="Arial" w:cs="Arial"/>
        </w:rPr>
        <w:t xml:space="preserve"> 202</w:t>
      </w:r>
      <w:r>
        <w:rPr>
          <w:rFonts w:ascii="Arial" w:hAnsi="Arial" w:cs="Arial"/>
        </w:rPr>
        <w:t>1</w:t>
      </w:r>
    </w:p>
    <w:p w:rsidR="00FA0BD1" w:rsidRDefault="00FA0BD1" w:rsidP="00FA0BD1">
      <w:pPr>
        <w:spacing w:after="0" w:line="240" w:lineRule="auto"/>
        <w:rPr>
          <w:rFonts w:ascii="Arial" w:hAnsi="Arial" w:cs="Arial"/>
        </w:rPr>
      </w:pPr>
    </w:p>
    <w:p w:rsidR="00FA0BD1" w:rsidRPr="00FA0BD1" w:rsidRDefault="00FA0BD1" w:rsidP="00FA0BD1">
      <w:pPr>
        <w:spacing w:after="0" w:line="240" w:lineRule="auto"/>
        <w:rPr>
          <w:rFonts w:ascii="Arial" w:hAnsi="Arial" w:cs="Arial"/>
          <w:u w:val="single"/>
        </w:rPr>
      </w:pPr>
      <w:r w:rsidRPr="00FA0BD1">
        <w:rPr>
          <w:rFonts w:ascii="Arial" w:hAnsi="Arial" w:cs="Arial"/>
          <w:u w:val="single"/>
        </w:rPr>
        <w:t>Created by</w:t>
      </w:r>
      <w:r>
        <w:rPr>
          <w:rFonts w:ascii="Arial" w:hAnsi="Arial" w:cs="Arial"/>
          <w:u w:val="single"/>
        </w:rPr>
        <w:t>:</w:t>
      </w:r>
    </w:p>
    <w:p w:rsidR="007A0516" w:rsidRDefault="007A0516" w:rsidP="00FA0BD1">
      <w:pPr>
        <w:spacing w:after="0" w:line="240" w:lineRule="auto"/>
        <w:rPr>
          <w:rFonts w:ascii="Arial" w:hAnsi="Arial" w:cs="Arial"/>
        </w:rPr>
      </w:pPr>
      <w:r>
        <w:rPr>
          <w:rFonts w:ascii="Arial" w:hAnsi="Arial" w:cs="Arial"/>
        </w:rPr>
        <w:t>Griffin M Weber, MD, PhD</w:t>
      </w:r>
    </w:p>
    <w:p w:rsidR="00FA0BD1" w:rsidRDefault="00FA0BD1" w:rsidP="00FA0BD1">
      <w:pPr>
        <w:spacing w:after="0" w:line="240" w:lineRule="auto"/>
        <w:rPr>
          <w:rFonts w:ascii="Arial" w:hAnsi="Arial" w:cs="Arial"/>
        </w:rPr>
      </w:pPr>
      <w:r>
        <w:rPr>
          <w:rFonts w:ascii="Arial" w:hAnsi="Arial" w:cs="Arial"/>
        </w:rPr>
        <w:t>Nick Benik</w:t>
      </w:r>
    </w:p>
    <w:p w:rsidR="00EE4C4B" w:rsidRDefault="00EE4C4B" w:rsidP="00FA0BD1">
      <w:pPr>
        <w:spacing w:after="0" w:line="240" w:lineRule="auto"/>
        <w:rPr>
          <w:rFonts w:ascii="Arial" w:hAnsi="Arial" w:cs="Arial"/>
        </w:rPr>
      </w:pPr>
      <w:r>
        <w:rPr>
          <w:rFonts w:ascii="Arial" w:hAnsi="Arial" w:cs="Arial"/>
        </w:rPr>
        <w:t>Nick Brown</w:t>
      </w:r>
    </w:p>
    <w:p w:rsidR="00EE4C4B" w:rsidRDefault="00EE4C4B" w:rsidP="00FA0BD1">
      <w:pPr>
        <w:spacing w:after="0" w:line="240" w:lineRule="auto"/>
        <w:rPr>
          <w:rFonts w:ascii="Arial" w:hAnsi="Arial" w:cs="Arial"/>
        </w:rPr>
      </w:pPr>
      <w:r>
        <w:rPr>
          <w:rFonts w:ascii="Arial" w:hAnsi="Arial" w:cs="Arial"/>
        </w:rPr>
        <w:t>Ken Huling</w:t>
      </w:r>
    </w:p>
    <w:p w:rsidR="00FA0BD1" w:rsidRDefault="00FA0BD1" w:rsidP="00FA0BD1">
      <w:pPr>
        <w:spacing w:after="0" w:line="240" w:lineRule="auto"/>
        <w:rPr>
          <w:rFonts w:ascii="Arial" w:hAnsi="Arial" w:cs="Arial"/>
        </w:rPr>
      </w:pPr>
      <w:r>
        <w:rPr>
          <w:rFonts w:ascii="Arial" w:hAnsi="Arial" w:cs="Arial"/>
        </w:rPr>
        <w:t>Yun William Yu, PhD</w:t>
      </w:r>
    </w:p>
    <w:p w:rsidR="00FA0BD1" w:rsidRDefault="00FA0BD1" w:rsidP="00FA0BD1">
      <w:pPr>
        <w:spacing w:after="0" w:line="240" w:lineRule="auto"/>
        <w:rPr>
          <w:rFonts w:ascii="Arial" w:hAnsi="Arial" w:cs="Arial"/>
        </w:rPr>
      </w:pPr>
    </w:p>
    <w:p w:rsidR="00FA0BD1" w:rsidRPr="00FA0BD1" w:rsidRDefault="00FA0BD1" w:rsidP="00FA0BD1">
      <w:pPr>
        <w:spacing w:after="0" w:line="240" w:lineRule="auto"/>
        <w:rPr>
          <w:rFonts w:ascii="Arial" w:hAnsi="Arial" w:cs="Arial"/>
          <w:u w:val="single"/>
        </w:rPr>
      </w:pPr>
      <w:r w:rsidRPr="00FA0BD1">
        <w:rPr>
          <w:rFonts w:ascii="Arial" w:hAnsi="Arial" w:cs="Arial"/>
          <w:u w:val="single"/>
        </w:rPr>
        <w:t>Please direct questions to:</w:t>
      </w:r>
    </w:p>
    <w:p w:rsidR="00FA0BD1" w:rsidRDefault="00FA0BD1" w:rsidP="00FA0BD1">
      <w:pPr>
        <w:spacing w:after="0" w:line="240" w:lineRule="auto"/>
        <w:rPr>
          <w:rFonts w:ascii="Arial" w:hAnsi="Arial" w:cs="Arial"/>
        </w:rPr>
      </w:pPr>
      <w:r>
        <w:rPr>
          <w:rFonts w:ascii="Arial" w:hAnsi="Arial" w:cs="Arial"/>
        </w:rPr>
        <w:t>Griffin M Weber, MD, PhD</w:t>
      </w:r>
    </w:p>
    <w:p w:rsidR="00FA0BD1" w:rsidRDefault="00FA0BD1" w:rsidP="00FA0BD1">
      <w:pPr>
        <w:spacing w:after="0" w:line="240" w:lineRule="auto"/>
        <w:rPr>
          <w:rFonts w:ascii="Arial" w:hAnsi="Arial" w:cs="Arial"/>
        </w:rPr>
      </w:pPr>
      <w:r>
        <w:rPr>
          <w:rFonts w:ascii="Arial" w:hAnsi="Arial" w:cs="Arial"/>
        </w:rPr>
        <w:t>Associate Professor of Medicine and Biomedical Informatics</w:t>
      </w:r>
    </w:p>
    <w:p w:rsidR="00FA0BD1" w:rsidRDefault="00FA0BD1" w:rsidP="00FA0BD1">
      <w:pPr>
        <w:spacing w:after="0" w:line="240" w:lineRule="auto"/>
        <w:rPr>
          <w:rFonts w:ascii="Arial" w:hAnsi="Arial" w:cs="Arial"/>
        </w:rPr>
      </w:pPr>
      <w:r>
        <w:rPr>
          <w:rFonts w:ascii="Arial" w:hAnsi="Arial" w:cs="Arial"/>
        </w:rPr>
        <w:t>Beth Israel Deaconess Medical Center</w:t>
      </w:r>
    </w:p>
    <w:p w:rsidR="00FA0BD1" w:rsidRDefault="00FA0BD1" w:rsidP="00FA0BD1">
      <w:pPr>
        <w:spacing w:after="0" w:line="240" w:lineRule="auto"/>
        <w:rPr>
          <w:rFonts w:ascii="Arial" w:hAnsi="Arial" w:cs="Arial"/>
        </w:rPr>
      </w:pPr>
      <w:r>
        <w:rPr>
          <w:rFonts w:ascii="Arial" w:hAnsi="Arial" w:cs="Arial"/>
        </w:rPr>
        <w:t>Harvard Medical School</w:t>
      </w:r>
    </w:p>
    <w:p w:rsidR="00FA0BD1" w:rsidRDefault="00160673" w:rsidP="00FA0BD1">
      <w:pPr>
        <w:spacing w:after="0" w:line="240" w:lineRule="auto"/>
        <w:rPr>
          <w:rFonts w:ascii="Arial" w:hAnsi="Arial" w:cs="Arial"/>
        </w:rPr>
      </w:pPr>
      <w:hyperlink r:id="rId6" w:history="1">
        <w:r w:rsidR="00FA0BD1" w:rsidRPr="008D3A94">
          <w:rPr>
            <w:rStyle w:val="Hyperlink"/>
            <w:rFonts w:ascii="Arial" w:hAnsi="Arial" w:cs="Arial"/>
          </w:rPr>
          <w:t>weber@hms.harvard.edu</w:t>
        </w:r>
      </w:hyperlink>
    </w:p>
    <w:p w:rsidR="00FA0BD1" w:rsidRDefault="00FA0BD1" w:rsidP="00FA0BD1">
      <w:pPr>
        <w:spacing w:after="0" w:line="240" w:lineRule="auto"/>
        <w:rPr>
          <w:rFonts w:ascii="Arial" w:hAnsi="Arial" w:cs="Arial"/>
        </w:rPr>
      </w:pPr>
    </w:p>
    <w:p w:rsidR="00FA0BD1" w:rsidRDefault="00FA0BD1" w:rsidP="00FA0BD1">
      <w:pPr>
        <w:spacing w:after="0" w:line="240" w:lineRule="auto"/>
        <w:rPr>
          <w:rFonts w:ascii="Arial" w:hAnsi="Arial" w:cs="Arial"/>
        </w:rPr>
      </w:pPr>
    </w:p>
    <w:sdt>
      <w:sdtPr>
        <w:rPr>
          <w:rFonts w:ascii="Arial" w:eastAsiaTheme="minorHAnsi" w:hAnsi="Arial" w:cs="Arial"/>
          <w:color w:val="auto"/>
          <w:sz w:val="22"/>
          <w:szCs w:val="22"/>
        </w:rPr>
        <w:id w:val="-1757737071"/>
        <w:docPartObj>
          <w:docPartGallery w:val="Table of Contents"/>
          <w:docPartUnique/>
        </w:docPartObj>
      </w:sdtPr>
      <w:sdtEndPr>
        <w:rPr>
          <w:b/>
          <w:bCs/>
          <w:noProof/>
        </w:rPr>
      </w:sdtEndPr>
      <w:sdtContent>
        <w:p w:rsidR="00263D39" w:rsidRPr="00793277" w:rsidRDefault="00263D39">
          <w:pPr>
            <w:pStyle w:val="TOCHeading"/>
            <w:rPr>
              <w:rFonts w:ascii="Arial" w:hAnsi="Arial" w:cs="Arial"/>
            </w:rPr>
          </w:pPr>
          <w:r w:rsidRPr="00793277">
            <w:rPr>
              <w:rFonts w:ascii="Arial" w:hAnsi="Arial" w:cs="Arial"/>
            </w:rPr>
            <w:t>Table of Contents</w:t>
          </w:r>
        </w:p>
        <w:p w:rsidR="00793277" w:rsidRPr="00793277" w:rsidRDefault="00263D39">
          <w:pPr>
            <w:pStyle w:val="TOC1"/>
            <w:tabs>
              <w:tab w:val="right" w:leader="dot" w:pos="10070"/>
            </w:tabs>
            <w:rPr>
              <w:rFonts w:ascii="Arial" w:eastAsiaTheme="minorEastAsia" w:hAnsi="Arial" w:cs="Arial"/>
              <w:noProof/>
            </w:rPr>
          </w:pPr>
          <w:r w:rsidRPr="00793277">
            <w:rPr>
              <w:rFonts w:ascii="Arial" w:hAnsi="Arial" w:cs="Arial"/>
              <w:b/>
              <w:bCs/>
              <w:noProof/>
            </w:rPr>
            <w:fldChar w:fldCharType="begin"/>
          </w:r>
          <w:r w:rsidRPr="00793277">
            <w:rPr>
              <w:rFonts w:ascii="Arial" w:hAnsi="Arial" w:cs="Arial"/>
              <w:b/>
              <w:bCs/>
              <w:noProof/>
            </w:rPr>
            <w:instrText xml:space="preserve"> TOC \o "1-3" \h \z \u </w:instrText>
          </w:r>
          <w:r w:rsidRPr="00793277">
            <w:rPr>
              <w:rFonts w:ascii="Arial" w:hAnsi="Arial" w:cs="Arial"/>
              <w:b/>
              <w:bCs/>
              <w:noProof/>
            </w:rPr>
            <w:fldChar w:fldCharType="separate"/>
          </w:r>
          <w:hyperlink w:anchor="_Toc34172828" w:history="1">
            <w:r w:rsidR="00793277" w:rsidRPr="00793277">
              <w:rPr>
                <w:rStyle w:val="Hyperlink"/>
                <w:rFonts w:ascii="Arial" w:hAnsi="Arial" w:cs="Arial"/>
                <w:noProof/>
              </w:rPr>
              <w:t>Introduction</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_Toc34172828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2</w:t>
            </w:r>
            <w:r w:rsidR="00793277" w:rsidRPr="00793277">
              <w:rPr>
                <w:rFonts w:ascii="Arial" w:hAnsi="Arial" w:cs="Arial"/>
                <w:noProof/>
                <w:webHidden/>
              </w:rPr>
              <w:fldChar w:fldCharType="end"/>
            </w:r>
          </w:hyperlink>
        </w:p>
        <w:p w:rsidR="00793277" w:rsidRPr="00793277" w:rsidRDefault="00160673">
          <w:pPr>
            <w:pStyle w:val="TOC2"/>
            <w:tabs>
              <w:tab w:val="right" w:leader="dot" w:pos="10070"/>
            </w:tabs>
            <w:rPr>
              <w:rFonts w:ascii="Arial" w:eastAsiaTheme="minorEastAsia" w:hAnsi="Arial" w:cs="Arial"/>
              <w:noProof/>
            </w:rPr>
          </w:pPr>
          <w:hyperlink w:anchor="_Toc34172829" w:history="1">
            <w:r w:rsidR="00793277" w:rsidRPr="00793277">
              <w:rPr>
                <w:rStyle w:val="Hyperlink"/>
                <w:rFonts w:ascii="Arial" w:hAnsi="Arial" w:cs="Arial"/>
                <w:noProof/>
              </w:rPr>
              <w:t>Overview</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_Toc34172829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2</w:t>
            </w:r>
            <w:r w:rsidR="00793277" w:rsidRPr="00793277">
              <w:rPr>
                <w:rFonts w:ascii="Arial" w:hAnsi="Arial" w:cs="Arial"/>
                <w:noProof/>
                <w:webHidden/>
              </w:rPr>
              <w:fldChar w:fldCharType="end"/>
            </w:r>
          </w:hyperlink>
        </w:p>
        <w:p w:rsidR="00793277" w:rsidRPr="00793277" w:rsidRDefault="00160673">
          <w:pPr>
            <w:pStyle w:val="TOC2"/>
            <w:tabs>
              <w:tab w:val="right" w:leader="dot" w:pos="10070"/>
            </w:tabs>
            <w:rPr>
              <w:rFonts w:ascii="Arial" w:eastAsiaTheme="minorEastAsia" w:hAnsi="Arial" w:cs="Arial"/>
              <w:noProof/>
            </w:rPr>
          </w:pPr>
          <w:hyperlink w:anchor="_Toc34172830" w:history="1">
            <w:r w:rsidR="00793277" w:rsidRPr="00793277">
              <w:rPr>
                <w:rStyle w:val="Hyperlink"/>
                <w:rFonts w:ascii="Arial" w:hAnsi="Arial" w:cs="Arial"/>
                <w:noProof/>
              </w:rPr>
              <w:t>Features</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_Toc34172830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2</w:t>
            </w:r>
            <w:r w:rsidR="00793277" w:rsidRPr="00793277">
              <w:rPr>
                <w:rFonts w:ascii="Arial" w:hAnsi="Arial" w:cs="Arial"/>
                <w:noProof/>
                <w:webHidden/>
              </w:rPr>
              <w:fldChar w:fldCharType="end"/>
            </w:r>
          </w:hyperlink>
        </w:p>
        <w:p w:rsidR="00793277" w:rsidRPr="00793277" w:rsidRDefault="00160673">
          <w:pPr>
            <w:pStyle w:val="TOC2"/>
            <w:tabs>
              <w:tab w:val="right" w:leader="dot" w:pos="10070"/>
            </w:tabs>
            <w:rPr>
              <w:rFonts w:ascii="Arial" w:eastAsiaTheme="minorEastAsia" w:hAnsi="Arial" w:cs="Arial"/>
              <w:noProof/>
            </w:rPr>
          </w:pPr>
          <w:hyperlink w:anchor="_Toc34172831" w:history="1">
            <w:r w:rsidR="00793277" w:rsidRPr="00793277">
              <w:rPr>
                <w:rStyle w:val="Hyperlink"/>
                <w:rFonts w:ascii="Arial" w:hAnsi="Arial" w:cs="Arial"/>
                <w:noProof/>
              </w:rPr>
              <w:t>Use Cases</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_Toc34172831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2</w:t>
            </w:r>
            <w:r w:rsidR="00793277" w:rsidRPr="00793277">
              <w:rPr>
                <w:rFonts w:ascii="Arial" w:hAnsi="Arial" w:cs="Arial"/>
                <w:noProof/>
                <w:webHidden/>
              </w:rPr>
              <w:fldChar w:fldCharType="end"/>
            </w:r>
          </w:hyperlink>
        </w:p>
        <w:p w:rsidR="00793277" w:rsidRPr="00793277" w:rsidRDefault="00160673">
          <w:pPr>
            <w:pStyle w:val="TOC1"/>
            <w:tabs>
              <w:tab w:val="right" w:leader="dot" w:pos="10070"/>
            </w:tabs>
            <w:rPr>
              <w:rFonts w:ascii="Arial" w:eastAsiaTheme="minorEastAsia" w:hAnsi="Arial" w:cs="Arial"/>
              <w:noProof/>
            </w:rPr>
          </w:pPr>
          <w:hyperlink w:anchor="_Toc34172832" w:history="1">
            <w:r w:rsidR="00793277" w:rsidRPr="00793277">
              <w:rPr>
                <w:rStyle w:val="Hyperlink"/>
                <w:rFonts w:ascii="Arial" w:hAnsi="Arial" w:cs="Arial"/>
                <w:noProof/>
              </w:rPr>
              <w:t>Installing CQ2</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_Toc34172832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3</w:t>
            </w:r>
            <w:r w:rsidR="00793277" w:rsidRPr="00793277">
              <w:rPr>
                <w:rFonts w:ascii="Arial" w:hAnsi="Arial" w:cs="Arial"/>
                <w:noProof/>
                <w:webHidden/>
              </w:rPr>
              <w:fldChar w:fldCharType="end"/>
            </w:r>
          </w:hyperlink>
        </w:p>
        <w:p w:rsidR="00793277" w:rsidRPr="00793277" w:rsidRDefault="00160673">
          <w:pPr>
            <w:pStyle w:val="TOC1"/>
            <w:tabs>
              <w:tab w:val="right" w:leader="dot" w:pos="10070"/>
            </w:tabs>
            <w:rPr>
              <w:rFonts w:ascii="Arial" w:eastAsiaTheme="minorEastAsia" w:hAnsi="Arial" w:cs="Arial"/>
              <w:noProof/>
            </w:rPr>
          </w:pPr>
          <w:hyperlink w:anchor="_Toc34172833" w:history="1">
            <w:r w:rsidR="00793277" w:rsidRPr="00793277">
              <w:rPr>
                <w:rStyle w:val="Hyperlink"/>
                <w:rFonts w:ascii="Arial" w:hAnsi="Arial" w:cs="Arial"/>
                <w:noProof/>
              </w:rPr>
              <w:t>Updating CQ2 Data</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_Toc34172833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6</w:t>
            </w:r>
            <w:r w:rsidR="00793277" w:rsidRPr="00793277">
              <w:rPr>
                <w:rFonts w:ascii="Arial" w:hAnsi="Arial" w:cs="Arial"/>
                <w:noProof/>
                <w:webHidden/>
              </w:rPr>
              <w:fldChar w:fldCharType="end"/>
            </w:r>
          </w:hyperlink>
        </w:p>
        <w:p w:rsidR="00793277" w:rsidRPr="00793277" w:rsidRDefault="00160673">
          <w:pPr>
            <w:pStyle w:val="TOC1"/>
            <w:tabs>
              <w:tab w:val="right" w:leader="dot" w:pos="10070"/>
            </w:tabs>
            <w:rPr>
              <w:rFonts w:ascii="Arial" w:eastAsiaTheme="minorEastAsia" w:hAnsi="Arial" w:cs="Arial"/>
              <w:noProof/>
            </w:rPr>
          </w:pPr>
          <w:hyperlink w:anchor="_Toc34172834" w:history="1">
            <w:r w:rsidR="00793277" w:rsidRPr="00793277">
              <w:rPr>
                <w:rStyle w:val="Hyperlink"/>
                <w:rFonts w:ascii="Arial" w:hAnsi="Arial" w:cs="Arial"/>
                <w:noProof/>
              </w:rPr>
              <w:t>Customizations</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_Toc34172834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7</w:t>
            </w:r>
            <w:r w:rsidR="00793277" w:rsidRPr="00793277">
              <w:rPr>
                <w:rFonts w:ascii="Arial" w:hAnsi="Arial" w:cs="Arial"/>
                <w:noProof/>
                <w:webHidden/>
              </w:rPr>
              <w:fldChar w:fldCharType="end"/>
            </w:r>
          </w:hyperlink>
        </w:p>
        <w:p w:rsidR="00793277" w:rsidRPr="00793277" w:rsidRDefault="00160673">
          <w:pPr>
            <w:pStyle w:val="TOC2"/>
            <w:tabs>
              <w:tab w:val="right" w:leader="dot" w:pos="10070"/>
            </w:tabs>
            <w:rPr>
              <w:rFonts w:ascii="Arial" w:eastAsiaTheme="minorEastAsia" w:hAnsi="Arial" w:cs="Arial"/>
              <w:noProof/>
            </w:rPr>
          </w:pPr>
          <w:hyperlink w:anchor="_Toc34172835" w:history="1">
            <w:r w:rsidR="00793277" w:rsidRPr="00793277">
              <w:rPr>
                <w:rStyle w:val="Hyperlink"/>
                <w:rFonts w:ascii="Arial" w:hAnsi="Arial" w:cs="Arial"/>
                <w:noProof/>
              </w:rPr>
              <w:t>Using Multiple Databases</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_Toc34172835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7</w:t>
            </w:r>
            <w:r w:rsidR="00793277" w:rsidRPr="00793277">
              <w:rPr>
                <w:rFonts w:ascii="Arial" w:hAnsi="Arial" w:cs="Arial"/>
                <w:noProof/>
                <w:webHidden/>
              </w:rPr>
              <w:fldChar w:fldCharType="end"/>
            </w:r>
          </w:hyperlink>
        </w:p>
        <w:p w:rsidR="00793277" w:rsidRPr="00793277" w:rsidRDefault="00160673">
          <w:pPr>
            <w:pStyle w:val="TOC2"/>
            <w:tabs>
              <w:tab w:val="right" w:leader="dot" w:pos="10070"/>
            </w:tabs>
            <w:rPr>
              <w:rFonts w:ascii="Arial" w:eastAsiaTheme="minorEastAsia" w:hAnsi="Arial" w:cs="Arial"/>
              <w:noProof/>
            </w:rPr>
          </w:pPr>
          <w:hyperlink w:anchor="_Toc34172836" w:history="1">
            <w:r w:rsidR="00793277" w:rsidRPr="00793277">
              <w:rPr>
                <w:rStyle w:val="Hyperlink"/>
                <w:rFonts w:ascii="Arial" w:hAnsi="Arial" w:cs="Arial"/>
                <w:noProof/>
              </w:rPr>
              <w:t>Custom Query Breakdowns</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_Toc34172836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8</w:t>
            </w:r>
            <w:r w:rsidR="00793277" w:rsidRPr="00793277">
              <w:rPr>
                <w:rFonts w:ascii="Arial" w:hAnsi="Arial" w:cs="Arial"/>
                <w:noProof/>
                <w:webHidden/>
              </w:rPr>
              <w:fldChar w:fldCharType="end"/>
            </w:r>
          </w:hyperlink>
        </w:p>
        <w:p w:rsidR="00793277" w:rsidRPr="00793277" w:rsidRDefault="00160673">
          <w:pPr>
            <w:pStyle w:val="TOC2"/>
            <w:tabs>
              <w:tab w:val="right" w:leader="dot" w:pos="10070"/>
            </w:tabs>
            <w:rPr>
              <w:rFonts w:ascii="Arial" w:eastAsiaTheme="minorEastAsia" w:hAnsi="Arial" w:cs="Arial"/>
              <w:noProof/>
            </w:rPr>
          </w:pPr>
          <w:hyperlink w:anchor="_Toc34172837" w:history="1">
            <w:r w:rsidR="00793277" w:rsidRPr="00793277">
              <w:rPr>
                <w:rStyle w:val="Hyperlink"/>
                <w:rFonts w:ascii="Arial" w:hAnsi="Arial" w:cs="Arial"/>
                <w:noProof/>
              </w:rPr>
              <w:t>Custom User Authentication and Registration</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_Toc34172837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8</w:t>
            </w:r>
            <w:r w:rsidR="00793277" w:rsidRPr="00793277">
              <w:rPr>
                <w:rFonts w:ascii="Arial" w:hAnsi="Arial" w:cs="Arial"/>
                <w:noProof/>
                <w:webHidden/>
              </w:rPr>
              <w:fldChar w:fldCharType="end"/>
            </w:r>
          </w:hyperlink>
        </w:p>
        <w:p w:rsidR="00793277" w:rsidRPr="00793277" w:rsidRDefault="00160673">
          <w:pPr>
            <w:pStyle w:val="TOC1"/>
            <w:tabs>
              <w:tab w:val="right" w:leader="dot" w:pos="10070"/>
            </w:tabs>
            <w:rPr>
              <w:rFonts w:ascii="Arial" w:eastAsiaTheme="minorEastAsia" w:hAnsi="Arial" w:cs="Arial"/>
              <w:noProof/>
            </w:rPr>
          </w:pPr>
          <w:hyperlink w:anchor="_Toc34172838" w:history="1">
            <w:r w:rsidR="00793277" w:rsidRPr="00793277">
              <w:rPr>
                <w:rStyle w:val="Hyperlink"/>
                <w:rFonts w:ascii="Arial" w:hAnsi="Arial" w:cs="Arial"/>
                <w:noProof/>
              </w:rPr>
              <w:t>Using Sketches in Queries</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_Toc34172838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9</w:t>
            </w:r>
            <w:r w:rsidR="00793277" w:rsidRPr="00793277">
              <w:rPr>
                <w:rFonts w:ascii="Arial" w:hAnsi="Arial" w:cs="Arial"/>
                <w:noProof/>
                <w:webHidden/>
              </w:rPr>
              <w:fldChar w:fldCharType="end"/>
            </w:r>
          </w:hyperlink>
        </w:p>
        <w:p w:rsidR="00793277" w:rsidRPr="00793277" w:rsidRDefault="00160673">
          <w:pPr>
            <w:pStyle w:val="TOC1"/>
            <w:tabs>
              <w:tab w:val="right" w:leader="dot" w:pos="10070"/>
            </w:tabs>
            <w:rPr>
              <w:rFonts w:ascii="Arial" w:eastAsiaTheme="minorEastAsia" w:hAnsi="Arial" w:cs="Arial"/>
              <w:noProof/>
            </w:rPr>
          </w:pPr>
          <w:hyperlink w:anchor="_Toc34172839" w:history="1">
            <w:r w:rsidR="00793277" w:rsidRPr="00793277">
              <w:rPr>
                <w:rStyle w:val="Hyperlink"/>
                <w:rFonts w:ascii="Arial" w:hAnsi="Arial" w:cs="Arial"/>
                <w:noProof/>
              </w:rPr>
              <w:t>CQ2 Architecture</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_Toc34172839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10</w:t>
            </w:r>
            <w:r w:rsidR="00793277" w:rsidRPr="00793277">
              <w:rPr>
                <w:rFonts w:ascii="Arial" w:hAnsi="Arial" w:cs="Arial"/>
                <w:noProof/>
                <w:webHidden/>
              </w:rPr>
              <w:fldChar w:fldCharType="end"/>
            </w:r>
          </w:hyperlink>
        </w:p>
        <w:p w:rsidR="00793277" w:rsidRPr="00793277" w:rsidRDefault="00160673">
          <w:pPr>
            <w:pStyle w:val="TOC1"/>
            <w:tabs>
              <w:tab w:val="right" w:leader="dot" w:pos="10070"/>
            </w:tabs>
            <w:rPr>
              <w:rFonts w:ascii="Arial" w:eastAsiaTheme="minorEastAsia" w:hAnsi="Arial" w:cs="Arial"/>
              <w:noProof/>
            </w:rPr>
          </w:pPr>
          <w:hyperlink w:anchor="_Toc34172840" w:history="1">
            <w:r w:rsidR="00793277" w:rsidRPr="00793277">
              <w:rPr>
                <w:rStyle w:val="Hyperlink"/>
                <w:rFonts w:ascii="Arial" w:hAnsi="Arial" w:cs="Arial"/>
                <w:noProof/>
              </w:rPr>
              <w:t>Functional Comparison of CQ2 and i2b2</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_Toc34172840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12</w:t>
            </w:r>
            <w:r w:rsidR="00793277" w:rsidRPr="00793277">
              <w:rPr>
                <w:rFonts w:ascii="Arial" w:hAnsi="Arial" w:cs="Arial"/>
                <w:noProof/>
                <w:webHidden/>
              </w:rPr>
              <w:fldChar w:fldCharType="end"/>
            </w:r>
          </w:hyperlink>
        </w:p>
        <w:p w:rsidR="00793277" w:rsidRPr="00793277" w:rsidRDefault="00160673">
          <w:pPr>
            <w:pStyle w:val="TOC1"/>
            <w:tabs>
              <w:tab w:val="right" w:leader="dot" w:pos="10070"/>
            </w:tabs>
            <w:rPr>
              <w:rFonts w:ascii="Arial" w:eastAsiaTheme="minorEastAsia" w:hAnsi="Arial" w:cs="Arial"/>
              <w:noProof/>
            </w:rPr>
          </w:pPr>
          <w:hyperlink w:anchor="_Toc34172841" w:history="1">
            <w:r w:rsidR="00793277" w:rsidRPr="00793277">
              <w:rPr>
                <w:rStyle w:val="Hyperlink"/>
                <w:rFonts w:ascii="Arial" w:hAnsi="Arial" w:cs="Arial"/>
                <w:noProof/>
              </w:rPr>
              <w:t>Version History</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_Toc34172841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14</w:t>
            </w:r>
            <w:r w:rsidR="00793277" w:rsidRPr="00793277">
              <w:rPr>
                <w:rFonts w:ascii="Arial" w:hAnsi="Arial" w:cs="Arial"/>
                <w:noProof/>
                <w:webHidden/>
              </w:rPr>
              <w:fldChar w:fldCharType="end"/>
            </w:r>
          </w:hyperlink>
        </w:p>
        <w:p w:rsidR="00263D39" w:rsidRPr="005F4A9D" w:rsidRDefault="00263D39">
          <w:pPr>
            <w:rPr>
              <w:rFonts w:ascii="Arial" w:hAnsi="Arial" w:cs="Arial"/>
            </w:rPr>
          </w:pPr>
          <w:r w:rsidRPr="00793277">
            <w:rPr>
              <w:rFonts w:ascii="Arial" w:hAnsi="Arial" w:cs="Arial"/>
              <w:b/>
              <w:bCs/>
              <w:noProof/>
            </w:rPr>
            <w:fldChar w:fldCharType="end"/>
          </w:r>
        </w:p>
      </w:sdtContent>
    </w:sdt>
    <w:p w:rsidR="007A0516" w:rsidRPr="00263D39" w:rsidRDefault="007A0516">
      <w:pPr>
        <w:rPr>
          <w:rFonts w:ascii="Arial" w:hAnsi="Arial" w:cs="Arial"/>
        </w:rPr>
      </w:pPr>
      <w:r w:rsidRPr="00263D39">
        <w:rPr>
          <w:rFonts w:ascii="Arial" w:hAnsi="Arial" w:cs="Arial"/>
        </w:rPr>
        <w:br w:type="page"/>
      </w:r>
    </w:p>
    <w:p w:rsidR="001739D9" w:rsidRDefault="007A0516" w:rsidP="00263D39">
      <w:pPr>
        <w:pStyle w:val="Heading1"/>
      </w:pPr>
      <w:bookmarkStart w:id="0" w:name="_Toc34172828"/>
      <w:r>
        <w:lastRenderedPageBreak/>
        <w:t>Introduction</w:t>
      </w:r>
      <w:bookmarkEnd w:id="0"/>
    </w:p>
    <w:p w:rsidR="007A0516" w:rsidRDefault="007A0516" w:rsidP="001739D9">
      <w:pPr>
        <w:spacing w:after="0" w:line="240" w:lineRule="auto"/>
        <w:rPr>
          <w:rFonts w:ascii="Arial" w:hAnsi="Arial" w:cs="Arial"/>
        </w:rPr>
      </w:pPr>
    </w:p>
    <w:p w:rsidR="00A4373A" w:rsidRDefault="00A4373A" w:rsidP="00263D39">
      <w:pPr>
        <w:pStyle w:val="Heading2"/>
      </w:pPr>
      <w:bookmarkStart w:id="1" w:name="_Toc34172829"/>
      <w:r>
        <w:t>Overview</w:t>
      </w:r>
      <w:bookmarkEnd w:id="1"/>
    </w:p>
    <w:p w:rsidR="00A4373A" w:rsidRDefault="00A4373A" w:rsidP="00750BFB">
      <w:pPr>
        <w:spacing w:after="0" w:line="240" w:lineRule="auto"/>
        <w:jc w:val="both"/>
        <w:rPr>
          <w:rFonts w:ascii="Arial" w:hAnsi="Arial" w:cs="Arial"/>
        </w:rPr>
      </w:pPr>
    </w:p>
    <w:p w:rsidR="004B36B4" w:rsidRDefault="007A0516" w:rsidP="00750BFB">
      <w:pPr>
        <w:spacing w:after="0" w:line="240" w:lineRule="auto"/>
        <w:jc w:val="both"/>
        <w:rPr>
          <w:rFonts w:ascii="Arial" w:hAnsi="Arial" w:cs="Arial"/>
        </w:rPr>
      </w:pPr>
      <w:r>
        <w:rPr>
          <w:rFonts w:ascii="Arial" w:hAnsi="Arial" w:cs="Arial"/>
        </w:rPr>
        <w:t xml:space="preserve">Clinical Query 2 (CQ2) was </w:t>
      </w:r>
      <w:r w:rsidR="00E113EE">
        <w:rPr>
          <w:rFonts w:ascii="Arial" w:hAnsi="Arial" w:cs="Arial"/>
        </w:rPr>
        <w:t xml:space="preserve">initially </w:t>
      </w:r>
      <w:r>
        <w:rPr>
          <w:rFonts w:ascii="Arial" w:hAnsi="Arial" w:cs="Arial"/>
        </w:rPr>
        <w:t xml:space="preserve">developed at Beth Israel Deaconess Medical Center (BIDMC) and Harvard Medical School (HMS) in 2008 </w:t>
      </w:r>
      <w:r w:rsidR="00E113EE">
        <w:rPr>
          <w:rFonts w:ascii="Arial" w:hAnsi="Arial" w:cs="Arial"/>
        </w:rPr>
        <w:t xml:space="preserve">to serve as BIDMC’s i2b2 system. Back then, BIDMC did not support Java applications. We therefore rewrote the Java-based application layer of i2b2 as Microsoft SQL Server stored procedures. This allowed us to replace all the i2b2 Java code with a single web service proxy, which simply passes an i2b2 XML request message to a database stored procedure and returns the i2b2 XML response message that comes back from the database. </w:t>
      </w:r>
    </w:p>
    <w:p w:rsidR="004B36B4" w:rsidRDefault="004B36B4" w:rsidP="00750BFB">
      <w:pPr>
        <w:spacing w:after="0" w:line="240" w:lineRule="auto"/>
        <w:jc w:val="both"/>
        <w:rPr>
          <w:rFonts w:ascii="Arial" w:hAnsi="Arial" w:cs="Arial"/>
        </w:rPr>
      </w:pPr>
    </w:p>
    <w:p w:rsidR="007A0516" w:rsidRDefault="00E113EE" w:rsidP="00750BFB">
      <w:pPr>
        <w:spacing w:after="0" w:line="240" w:lineRule="auto"/>
        <w:jc w:val="both"/>
        <w:rPr>
          <w:rFonts w:ascii="Arial" w:hAnsi="Arial" w:cs="Arial"/>
        </w:rPr>
      </w:pPr>
      <w:r>
        <w:rPr>
          <w:rFonts w:ascii="Arial" w:hAnsi="Arial" w:cs="Arial"/>
        </w:rPr>
        <w:t>In addition</w:t>
      </w:r>
      <w:r w:rsidR="004B36B4">
        <w:rPr>
          <w:rFonts w:ascii="Arial" w:hAnsi="Arial" w:cs="Arial"/>
        </w:rPr>
        <w:t xml:space="preserve"> to replacing the Java code</w:t>
      </w:r>
      <w:r>
        <w:rPr>
          <w:rFonts w:ascii="Arial" w:hAnsi="Arial" w:cs="Arial"/>
        </w:rPr>
        <w:t xml:space="preserve">, while i2b2 uses several databases (one for each cell), we merged them all into a single database, using different schemas for each cell. CQ2 is this combined database, </w:t>
      </w:r>
      <w:r w:rsidR="004B36B4">
        <w:rPr>
          <w:rFonts w:ascii="Arial" w:hAnsi="Arial" w:cs="Arial"/>
        </w:rPr>
        <w:t xml:space="preserve">the </w:t>
      </w:r>
      <w:r>
        <w:rPr>
          <w:rFonts w:ascii="Arial" w:hAnsi="Arial" w:cs="Arial"/>
        </w:rPr>
        <w:t xml:space="preserve">stored procedures, and </w:t>
      </w:r>
      <w:r w:rsidR="004B36B4">
        <w:rPr>
          <w:rFonts w:ascii="Arial" w:hAnsi="Arial" w:cs="Arial"/>
        </w:rPr>
        <w:t xml:space="preserve">the </w:t>
      </w:r>
      <w:r>
        <w:rPr>
          <w:rFonts w:ascii="Arial" w:hAnsi="Arial" w:cs="Arial"/>
        </w:rPr>
        <w:t xml:space="preserve">web service proxy. CQ2 </w:t>
      </w:r>
      <w:r w:rsidR="004B36B4">
        <w:rPr>
          <w:rFonts w:ascii="Arial" w:hAnsi="Arial" w:cs="Arial"/>
        </w:rPr>
        <w:t>retains the same “star schema” to store clinical data as i2b2, it uses i2b2 ontologies, and it has the same API message format as i2b2. As new versions of i2b2 are released, we update CQ2 to support (nearly all of) the new features. As a result, CQ2 works with any i2b2 client software and appears like any other i2b2 node in federated SHRINE networks.</w:t>
      </w:r>
    </w:p>
    <w:p w:rsidR="004B36B4" w:rsidRDefault="004B36B4" w:rsidP="00750BFB">
      <w:pPr>
        <w:spacing w:after="0" w:line="240" w:lineRule="auto"/>
        <w:jc w:val="both"/>
        <w:rPr>
          <w:rFonts w:ascii="Arial" w:hAnsi="Arial" w:cs="Arial"/>
        </w:rPr>
      </w:pPr>
    </w:p>
    <w:p w:rsidR="00A4373A" w:rsidRDefault="00A4373A" w:rsidP="00263D39">
      <w:pPr>
        <w:pStyle w:val="Heading2"/>
      </w:pPr>
      <w:bookmarkStart w:id="2" w:name="_Toc34172830"/>
      <w:r>
        <w:t>Features</w:t>
      </w:r>
      <w:bookmarkEnd w:id="2"/>
    </w:p>
    <w:p w:rsidR="00A4373A" w:rsidRDefault="00A4373A" w:rsidP="00750BFB">
      <w:pPr>
        <w:spacing w:after="0" w:line="240" w:lineRule="auto"/>
        <w:jc w:val="both"/>
        <w:rPr>
          <w:rFonts w:ascii="Arial" w:hAnsi="Arial" w:cs="Arial"/>
        </w:rPr>
      </w:pPr>
    </w:p>
    <w:p w:rsidR="004B36B4" w:rsidRDefault="004B36B4" w:rsidP="00750BFB">
      <w:pPr>
        <w:spacing w:after="0" w:line="240" w:lineRule="auto"/>
        <w:jc w:val="both"/>
        <w:rPr>
          <w:rFonts w:ascii="Arial" w:hAnsi="Arial" w:cs="Arial"/>
        </w:rPr>
      </w:pPr>
      <w:r>
        <w:rPr>
          <w:rFonts w:ascii="Arial" w:hAnsi="Arial" w:cs="Arial"/>
        </w:rPr>
        <w:t xml:space="preserve">By consolidating all the data and code into a single database, CQ2 has several advantages over i2b2: (1) It is easier to install and support since there are fewer components to manage, fewer database accounts to configure, fewer web applications to setup, etc. (2) It minimizes network traffic and improves performance since all the processing occurs within a single database. (3) </w:t>
      </w:r>
      <w:r w:rsidR="00417C08">
        <w:rPr>
          <w:rFonts w:ascii="Arial" w:hAnsi="Arial" w:cs="Arial"/>
        </w:rPr>
        <w:t>Only a tiny amount of storage and resources are needed on the application/web server. (4) The code can be greatly simplified—all the CQ2 stored procedures total less than 7000 lines of code and are under 400 KB. In contrast, the i2b2 Java code is nearly 100 MB.</w:t>
      </w:r>
    </w:p>
    <w:p w:rsidR="00264557" w:rsidRDefault="00264557" w:rsidP="00750BFB">
      <w:pPr>
        <w:spacing w:after="0" w:line="240" w:lineRule="auto"/>
        <w:jc w:val="both"/>
        <w:rPr>
          <w:rFonts w:ascii="Arial" w:hAnsi="Arial" w:cs="Arial"/>
        </w:rPr>
      </w:pPr>
    </w:p>
    <w:p w:rsidR="00264557" w:rsidRDefault="007F719F" w:rsidP="00750BFB">
      <w:pPr>
        <w:spacing w:after="0" w:line="240" w:lineRule="auto"/>
        <w:jc w:val="both"/>
        <w:rPr>
          <w:rFonts w:ascii="Arial" w:hAnsi="Arial" w:cs="Arial"/>
        </w:rPr>
      </w:pPr>
      <w:r>
        <w:rPr>
          <w:rFonts w:ascii="Arial" w:hAnsi="Arial" w:cs="Arial"/>
        </w:rPr>
        <w:t>A u</w:t>
      </w:r>
      <w:r w:rsidR="00264557">
        <w:rPr>
          <w:rFonts w:ascii="Arial" w:hAnsi="Arial" w:cs="Arial"/>
        </w:rPr>
        <w:t>nique feature of CQ2</w:t>
      </w:r>
      <w:r>
        <w:rPr>
          <w:rFonts w:ascii="Arial" w:hAnsi="Arial" w:cs="Arial"/>
        </w:rPr>
        <w:t xml:space="preserve"> is its query engine. Optimized indexes and the use of stored procedures make queries generally run faster than i2b2. CQ2 has two optional features to </w:t>
      </w:r>
      <w:r w:rsidR="007368FB">
        <w:rPr>
          <w:rFonts w:ascii="Arial" w:hAnsi="Arial" w:cs="Arial"/>
        </w:rPr>
        <w:t xml:space="preserve">greatly </w:t>
      </w:r>
      <w:r>
        <w:rPr>
          <w:rFonts w:ascii="Arial" w:hAnsi="Arial" w:cs="Arial"/>
        </w:rPr>
        <w:t>improve performance</w:t>
      </w:r>
      <w:r w:rsidR="007368FB">
        <w:rPr>
          <w:rFonts w:ascii="Arial" w:hAnsi="Arial" w:cs="Arial"/>
        </w:rPr>
        <w:t xml:space="preserve"> (orders of magnitude faster)</w:t>
      </w:r>
      <w:r>
        <w:rPr>
          <w:rFonts w:ascii="Arial" w:hAnsi="Arial" w:cs="Arial"/>
        </w:rPr>
        <w:t>, which you can enable or disable. The first precomputes a set of aggregate tables derived from the i2b2 fact and dimension tables. Many queries can be run on these much smaller aggregate tables rather than on the original data.</w:t>
      </w:r>
      <w:r w:rsidR="007368FB">
        <w:rPr>
          <w:rFonts w:ascii="Arial" w:hAnsi="Arial" w:cs="Arial"/>
        </w:rPr>
        <w:t xml:space="preserve"> The second uses a class of computational algorithms that compress the original data into small “probabilistic sketches”. The sketches can be used to obtain a very fast and accurate estimate of any query. Even with millions of patients and billions of data facts, sketch-based queries typically require </w:t>
      </w:r>
      <w:r w:rsidR="00A4373A">
        <w:rPr>
          <w:rFonts w:ascii="Arial" w:hAnsi="Arial" w:cs="Arial"/>
        </w:rPr>
        <w:t>less than a second to return an estimate within 10% of the actual count, and a few seconds to be within 1%. When running a query, the user can choose whether to optimize for speed or accuracy, or to continue running the query until the actual exact result is found.</w:t>
      </w:r>
    </w:p>
    <w:p w:rsidR="00417C08" w:rsidRDefault="00417C08" w:rsidP="00750BFB">
      <w:pPr>
        <w:spacing w:after="0" w:line="240" w:lineRule="auto"/>
        <w:jc w:val="both"/>
        <w:rPr>
          <w:rFonts w:ascii="Arial" w:hAnsi="Arial" w:cs="Arial"/>
        </w:rPr>
      </w:pPr>
    </w:p>
    <w:p w:rsidR="00A4373A" w:rsidRDefault="00A4373A" w:rsidP="00263D39">
      <w:pPr>
        <w:pStyle w:val="Heading2"/>
      </w:pPr>
      <w:bookmarkStart w:id="3" w:name="_Toc34172831"/>
      <w:r>
        <w:t>Use Cases</w:t>
      </w:r>
      <w:bookmarkEnd w:id="3"/>
    </w:p>
    <w:p w:rsidR="00A4373A" w:rsidRDefault="00A4373A" w:rsidP="00750BFB">
      <w:pPr>
        <w:spacing w:after="0" w:line="240" w:lineRule="auto"/>
        <w:jc w:val="both"/>
        <w:rPr>
          <w:rFonts w:ascii="Arial" w:hAnsi="Arial" w:cs="Arial"/>
        </w:rPr>
      </w:pPr>
    </w:p>
    <w:p w:rsidR="00A4373A" w:rsidRDefault="00A4373A" w:rsidP="00750BFB">
      <w:pPr>
        <w:spacing w:after="0" w:line="240" w:lineRule="auto"/>
        <w:jc w:val="both"/>
        <w:rPr>
          <w:rFonts w:ascii="Arial" w:hAnsi="Arial" w:cs="Arial"/>
        </w:rPr>
      </w:pPr>
      <w:r>
        <w:rPr>
          <w:rFonts w:ascii="Arial" w:hAnsi="Arial" w:cs="Arial"/>
        </w:rPr>
        <w:t>CQ2 has two primary use cases. The first is serving as an institution’s “enterprise” i2b2 system. Its performance optimizations enable it to scale to massive sizes (100+ million patients). The second is as an i2b2 node in federated networks. The fact that it is just a single database and one web service proxy file make</w:t>
      </w:r>
      <w:r w:rsidR="00750BFB">
        <w:rPr>
          <w:rFonts w:ascii="Arial" w:hAnsi="Arial" w:cs="Arial"/>
        </w:rPr>
        <w:t>s</w:t>
      </w:r>
      <w:r>
        <w:rPr>
          <w:rFonts w:ascii="Arial" w:hAnsi="Arial" w:cs="Arial"/>
        </w:rPr>
        <w:t xml:space="preserve"> it easy to “spin up” new instances to </w:t>
      </w:r>
      <w:r w:rsidR="00750BFB">
        <w:rPr>
          <w:rFonts w:ascii="Arial" w:hAnsi="Arial" w:cs="Arial"/>
        </w:rPr>
        <w:t>plug into these networks. However, because CQ2 does not include the i2b2 Java layer, it does not support i2b2 Java plugins that have been developed for specialized use cases, such as image processing or genomics pipelines.</w:t>
      </w:r>
    </w:p>
    <w:p w:rsidR="00417C08" w:rsidRDefault="00417C08" w:rsidP="00750BFB">
      <w:pPr>
        <w:spacing w:after="0" w:line="240" w:lineRule="auto"/>
        <w:jc w:val="both"/>
        <w:rPr>
          <w:rFonts w:ascii="Arial" w:hAnsi="Arial" w:cs="Arial"/>
        </w:rPr>
      </w:pPr>
    </w:p>
    <w:p w:rsidR="007A0516" w:rsidRDefault="007A0516" w:rsidP="00750BFB">
      <w:pPr>
        <w:jc w:val="both"/>
        <w:rPr>
          <w:rFonts w:ascii="Arial" w:hAnsi="Arial" w:cs="Arial"/>
        </w:rPr>
      </w:pPr>
      <w:r>
        <w:rPr>
          <w:rFonts w:ascii="Arial" w:hAnsi="Arial" w:cs="Arial"/>
        </w:rPr>
        <w:br w:type="page"/>
      </w:r>
    </w:p>
    <w:p w:rsidR="007A0516" w:rsidRDefault="007A0516" w:rsidP="00263D39">
      <w:pPr>
        <w:pStyle w:val="Heading1"/>
      </w:pPr>
      <w:bookmarkStart w:id="4" w:name="_Toc34172832"/>
      <w:r>
        <w:lastRenderedPageBreak/>
        <w:t>Installing CQ2</w:t>
      </w:r>
      <w:bookmarkEnd w:id="4"/>
    </w:p>
    <w:p w:rsidR="007A0516" w:rsidRDefault="007A0516" w:rsidP="001739D9">
      <w:pPr>
        <w:spacing w:after="0" w:line="240" w:lineRule="auto"/>
        <w:rPr>
          <w:rFonts w:ascii="Arial" w:hAnsi="Arial" w:cs="Arial"/>
        </w:rPr>
      </w:pPr>
    </w:p>
    <w:p w:rsidR="007A0516" w:rsidRDefault="007A0516" w:rsidP="001739D9">
      <w:pPr>
        <w:spacing w:after="0" w:line="240" w:lineRule="auto"/>
        <w:rPr>
          <w:rFonts w:ascii="Arial" w:hAnsi="Arial" w:cs="Arial"/>
        </w:rPr>
      </w:pPr>
      <w:r>
        <w:rPr>
          <w:rFonts w:ascii="Arial" w:hAnsi="Arial" w:cs="Arial"/>
        </w:rPr>
        <w:t>CQ2 has three parts: (1) a database; (2) a web service proxy, which gets installed on a web server; and, (3) the i2b2 web client, which is also installed on a web server. The CQ2 software consists of the database code and the web service proxy. You must separately download the i2b2 web client from i2b2.org. Follow the instructions below to install CQ2 and a demo ontology and dataset.</w:t>
      </w:r>
    </w:p>
    <w:p w:rsidR="007A0516" w:rsidRPr="001739D9" w:rsidRDefault="007A0516" w:rsidP="001739D9">
      <w:pPr>
        <w:spacing w:after="0" w:line="240" w:lineRule="auto"/>
        <w:rPr>
          <w:rFonts w:ascii="Arial" w:hAnsi="Arial" w:cs="Arial"/>
        </w:rPr>
      </w:pPr>
    </w:p>
    <w:p w:rsidR="00F92E4C" w:rsidRDefault="007E06DF" w:rsidP="007E06DF">
      <w:pPr>
        <w:pStyle w:val="ListParagraph"/>
        <w:numPr>
          <w:ilvl w:val="0"/>
          <w:numId w:val="2"/>
        </w:numPr>
        <w:spacing w:after="0" w:line="240" w:lineRule="auto"/>
        <w:rPr>
          <w:rFonts w:ascii="Arial" w:hAnsi="Arial" w:cs="Arial"/>
        </w:rPr>
      </w:pPr>
      <w:r w:rsidRPr="007E06DF">
        <w:rPr>
          <w:rFonts w:ascii="Arial" w:hAnsi="Arial" w:cs="Arial"/>
        </w:rPr>
        <w:t xml:space="preserve">Create a new </w:t>
      </w:r>
      <w:r w:rsidR="00145385">
        <w:rPr>
          <w:rFonts w:ascii="Arial" w:hAnsi="Arial" w:cs="Arial"/>
        </w:rPr>
        <w:t xml:space="preserve">SQL Server </w:t>
      </w:r>
      <w:r w:rsidRPr="007E06DF">
        <w:rPr>
          <w:rFonts w:ascii="Arial" w:hAnsi="Arial" w:cs="Arial"/>
        </w:rPr>
        <w:t>database</w:t>
      </w:r>
      <w:r w:rsidR="00A75564">
        <w:rPr>
          <w:rFonts w:ascii="Arial" w:hAnsi="Arial" w:cs="Arial"/>
        </w:rPr>
        <w:t>.</w:t>
      </w:r>
      <w:r w:rsidR="007A0516">
        <w:rPr>
          <w:rFonts w:ascii="Arial" w:hAnsi="Arial" w:cs="Arial"/>
        </w:rPr>
        <w:t xml:space="preserve"> (The database name can be anything you want.)</w:t>
      </w:r>
    </w:p>
    <w:p w:rsidR="00A75564" w:rsidRPr="007E06DF" w:rsidRDefault="00A75564" w:rsidP="007E06DF">
      <w:pPr>
        <w:pStyle w:val="ListParagraph"/>
        <w:numPr>
          <w:ilvl w:val="0"/>
          <w:numId w:val="2"/>
        </w:numPr>
        <w:spacing w:after="0" w:line="240" w:lineRule="auto"/>
        <w:rPr>
          <w:rFonts w:ascii="Arial" w:hAnsi="Arial" w:cs="Arial"/>
        </w:rPr>
      </w:pPr>
      <w:r>
        <w:rPr>
          <w:rFonts w:ascii="Arial" w:hAnsi="Arial" w:cs="Arial"/>
        </w:rPr>
        <w:t>Create the database objects in the new database.</w:t>
      </w:r>
    </w:p>
    <w:p w:rsidR="007E06DF" w:rsidRPr="007E06DF" w:rsidRDefault="007E06DF" w:rsidP="00A75564">
      <w:pPr>
        <w:pStyle w:val="ListParagraph"/>
        <w:numPr>
          <w:ilvl w:val="1"/>
          <w:numId w:val="3"/>
        </w:numPr>
        <w:spacing w:after="0" w:line="240" w:lineRule="auto"/>
        <w:rPr>
          <w:rFonts w:ascii="Arial" w:hAnsi="Arial" w:cs="Arial"/>
        </w:rPr>
      </w:pPr>
      <w:r w:rsidRPr="007E06DF">
        <w:rPr>
          <w:rFonts w:ascii="Arial" w:hAnsi="Arial" w:cs="Arial"/>
        </w:rPr>
        <w:t>Create schemas</w:t>
      </w:r>
      <w:r>
        <w:rPr>
          <w:rFonts w:ascii="Arial" w:hAnsi="Arial" w:cs="Arial"/>
        </w:rPr>
        <w:t xml:space="preserve"> for each cell in the new database. Run each statement, one line at a time.</w:t>
      </w:r>
    </w:p>
    <w:p w:rsidR="00A75564" w:rsidRPr="007E06DF" w:rsidRDefault="00A75564" w:rsidP="00A75564">
      <w:pPr>
        <w:spacing w:after="0" w:line="240" w:lineRule="auto"/>
        <w:rPr>
          <w:rFonts w:ascii="Arial" w:hAnsi="Arial" w:cs="Arial"/>
        </w:rPr>
      </w:pPr>
    </w:p>
    <w:p w:rsidR="007E06DF" w:rsidRPr="00A75564" w:rsidRDefault="007E06DF" w:rsidP="00A7556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A75564">
        <w:rPr>
          <w:rFonts w:ascii="Courier New" w:hAnsi="Courier New" w:cs="Courier New"/>
          <w:sz w:val="20"/>
        </w:rPr>
        <w:t>CREATE SCHEMA CRC AUTHORIZATION DBO;</w:t>
      </w:r>
    </w:p>
    <w:p w:rsidR="007E06DF" w:rsidRPr="00A75564" w:rsidRDefault="007E06DF" w:rsidP="00A7556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A75564">
        <w:rPr>
          <w:rFonts w:ascii="Courier New" w:hAnsi="Courier New" w:cs="Courier New"/>
          <w:sz w:val="20"/>
        </w:rPr>
        <w:t>CREATE SCHEMA HIVE AUTHORIZATION DBO;</w:t>
      </w:r>
    </w:p>
    <w:p w:rsidR="007E06DF" w:rsidRPr="00A75564" w:rsidRDefault="007E06DF" w:rsidP="00A7556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A75564">
        <w:rPr>
          <w:rFonts w:ascii="Courier New" w:hAnsi="Courier New" w:cs="Courier New"/>
          <w:sz w:val="20"/>
        </w:rPr>
        <w:t>CREATE SCHEMA ONT AUTHORIZATION DBO;</w:t>
      </w:r>
    </w:p>
    <w:p w:rsidR="007E06DF" w:rsidRPr="00A75564" w:rsidRDefault="007E06DF" w:rsidP="00A7556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A75564">
        <w:rPr>
          <w:rFonts w:ascii="Courier New" w:hAnsi="Courier New" w:cs="Courier New"/>
          <w:sz w:val="20"/>
        </w:rPr>
        <w:t>CREATE SCHEMA PM AUTHORIZATION DBO;</w:t>
      </w:r>
    </w:p>
    <w:p w:rsidR="007E06DF" w:rsidRPr="00A75564" w:rsidRDefault="007E06DF" w:rsidP="00A7556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A75564">
        <w:rPr>
          <w:rFonts w:ascii="Courier New" w:hAnsi="Courier New" w:cs="Courier New"/>
          <w:sz w:val="20"/>
        </w:rPr>
        <w:t>CREATE SCHEMA WORK AUTHORIZATION DBO;</w:t>
      </w:r>
    </w:p>
    <w:p w:rsidR="007E06DF" w:rsidRPr="007E06DF" w:rsidRDefault="007E06DF" w:rsidP="00A75564">
      <w:pPr>
        <w:spacing w:after="0" w:line="240" w:lineRule="auto"/>
        <w:rPr>
          <w:rFonts w:ascii="Arial" w:hAnsi="Arial" w:cs="Arial"/>
        </w:rPr>
      </w:pPr>
    </w:p>
    <w:p w:rsidR="007E06DF" w:rsidRPr="007E06DF" w:rsidRDefault="007E06DF" w:rsidP="00A75564">
      <w:pPr>
        <w:pStyle w:val="ListParagraph"/>
        <w:numPr>
          <w:ilvl w:val="1"/>
          <w:numId w:val="3"/>
        </w:numPr>
        <w:spacing w:after="0" w:line="240" w:lineRule="auto"/>
        <w:rPr>
          <w:rFonts w:ascii="Arial" w:hAnsi="Arial" w:cs="Arial"/>
        </w:rPr>
      </w:pPr>
      <w:r w:rsidRPr="007E06DF">
        <w:rPr>
          <w:rFonts w:ascii="Arial" w:hAnsi="Arial" w:cs="Arial"/>
        </w:rPr>
        <w:t xml:space="preserve">Run </w:t>
      </w:r>
      <w:r w:rsidR="00BA23EB">
        <w:rPr>
          <w:rFonts w:ascii="Arial" w:hAnsi="Arial" w:cs="Arial"/>
        </w:rPr>
        <w:t>Database\</w:t>
      </w:r>
      <w:proofErr w:type="spellStart"/>
      <w:r w:rsidRPr="007E06DF">
        <w:rPr>
          <w:rFonts w:ascii="Arial" w:hAnsi="Arial" w:cs="Arial"/>
        </w:rPr>
        <w:t>CreateTablesViews.sql</w:t>
      </w:r>
      <w:proofErr w:type="spellEnd"/>
      <w:r w:rsidR="00145385">
        <w:rPr>
          <w:rFonts w:ascii="Arial" w:hAnsi="Arial" w:cs="Arial"/>
        </w:rPr>
        <w:t xml:space="preserve"> to create all the tables and views used by CQ2. They will be placed in the CRC, HIVE, ONT, PM, and WORK schemas.</w:t>
      </w:r>
    </w:p>
    <w:p w:rsidR="00145385" w:rsidRPr="007E06DF" w:rsidRDefault="00145385" w:rsidP="00A75564">
      <w:pPr>
        <w:pStyle w:val="ListParagraph"/>
        <w:numPr>
          <w:ilvl w:val="1"/>
          <w:numId w:val="3"/>
        </w:numPr>
        <w:spacing w:after="0" w:line="240" w:lineRule="auto"/>
        <w:rPr>
          <w:rFonts w:ascii="Arial" w:hAnsi="Arial" w:cs="Arial"/>
        </w:rPr>
      </w:pPr>
      <w:r>
        <w:rPr>
          <w:rFonts w:ascii="Arial" w:hAnsi="Arial" w:cs="Arial"/>
        </w:rPr>
        <w:t xml:space="preserve">Run </w:t>
      </w:r>
      <w:r w:rsidR="00BA23EB">
        <w:rPr>
          <w:rFonts w:ascii="Arial" w:hAnsi="Arial" w:cs="Arial"/>
        </w:rPr>
        <w:t>Database\</w:t>
      </w:r>
      <w:proofErr w:type="spellStart"/>
      <w:r>
        <w:rPr>
          <w:rFonts w:ascii="Arial" w:hAnsi="Arial" w:cs="Arial"/>
        </w:rPr>
        <w:t>CreateFunctionsProcedures.sql</w:t>
      </w:r>
      <w:proofErr w:type="spellEnd"/>
      <w:r>
        <w:rPr>
          <w:rFonts w:ascii="Arial" w:hAnsi="Arial" w:cs="Arial"/>
        </w:rPr>
        <w:t xml:space="preserve"> to create all the functions and stored procedures used by CQ2. They will be placed in the CRC, HIVE, ONT, PM, and WORK schemas.</w:t>
      </w:r>
    </w:p>
    <w:p w:rsidR="007E06DF" w:rsidRDefault="00145385" w:rsidP="00A75564">
      <w:pPr>
        <w:pStyle w:val="ListParagraph"/>
        <w:numPr>
          <w:ilvl w:val="1"/>
          <w:numId w:val="3"/>
        </w:numPr>
        <w:spacing w:after="0" w:line="240" w:lineRule="auto"/>
        <w:rPr>
          <w:rFonts w:ascii="Arial" w:hAnsi="Arial" w:cs="Arial"/>
        </w:rPr>
      </w:pPr>
      <w:r>
        <w:rPr>
          <w:rFonts w:ascii="Arial" w:hAnsi="Arial" w:cs="Arial"/>
        </w:rPr>
        <w:t xml:space="preserve">Optionally run </w:t>
      </w:r>
      <w:r w:rsidR="00BA23EB">
        <w:rPr>
          <w:rFonts w:ascii="Arial" w:hAnsi="Arial" w:cs="Arial"/>
        </w:rPr>
        <w:t>Database\</w:t>
      </w:r>
      <w:proofErr w:type="spellStart"/>
      <w:r>
        <w:rPr>
          <w:rFonts w:ascii="Arial" w:hAnsi="Arial" w:cs="Arial"/>
        </w:rPr>
        <w:t>CreateOptionalObjects.sql</w:t>
      </w:r>
      <w:proofErr w:type="spellEnd"/>
      <w:r>
        <w:rPr>
          <w:rFonts w:ascii="Arial" w:hAnsi="Arial" w:cs="Arial"/>
        </w:rPr>
        <w:t>. This creates a table and several stored procedures in the DBO schema. These are not normally used by CQ2. They are optional objects that are helpful for debugging or making a copy of a CQ2 instance.</w:t>
      </w:r>
    </w:p>
    <w:p w:rsidR="00A75564" w:rsidRDefault="00A75564" w:rsidP="007E06DF">
      <w:pPr>
        <w:pStyle w:val="ListParagraph"/>
        <w:numPr>
          <w:ilvl w:val="0"/>
          <w:numId w:val="2"/>
        </w:numPr>
        <w:spacing w:after="0" w:line="240" w:lineRule="auto"/>
        <w:rPr>
          <w:rFonts w:ascii="Arial" w:hAnsi="Arial" w:cs="Arial"/>
        </w:rPr>
      </w:pPr>
      <w:r>
        <w:rPr>
          <w:rFonts w:ascii="Arial" w:hAnsi="Arial" w:cs="Arial"/>
        </w:rPr>
        <w:t xml:space="preserve">Load </w:t>
      </w:r>
      <w:r w:rsidR="00A4267F">
        <w:rPr>
          <w:rFonts w:ascii="Arial" w:hAnsi="Arial" w:cs="Arial"/>
        </w:rPr>
        <w:t xml:space="preserve">the </w:t>
      </w:r>
      <w:r w:rsidR="00DB148A">
        <w:rPr>
          <w:rFonts w:ascii="Arial" w:hAnsi="Arial" w:cs="Arial"/>
        </w:rPr>
        <w:t>lookup, project, and ontology table</w:t>
      </w:r>
      <w:r>
        <w:rPr>
          <w:rFonts w:ascii="Arial" w:hAnsi="Arial" w:cs="Arial"/>
        </w:rPr>
        <w:t xml:space="preserve"> data.</w:t>
      </w:r>
    </w:p>
    <w:p w:rsidR="00145385" w:rsidRDefault="00A75564" w:rsidP="00DB148A">
      <w:pPr>
        <w:pStyle w:val="ListParagraph"/>
        <w:numPr>
          <w:ilvl w:val="1"/>
          <w:numId w:val="4"/>
        </w:numPr>
        <w:spacing w:after="0" w:line="240" w:lineRule="auto"/>
        <w:rPr>
          <w:rFonts w:ascii="Arial" w:hAnsi="Arial" w:cs="Arial"/>
        </w:rPr>
      </w:pPr>
      <w:r>
        <w:rPr>
          <w:rFonts w:ascii="Arial" w:hAnsi="Arial" w:cs="Arial"/>
        </w:rPr>
        <w:t xml:space="preserve">Run </w:t>
      </w:r>
      <w:r w:rsidR="00BA23EB">
        <w:rPr>
          <w:rFonts w:ascii="Arial" w:hAnsi="Arial" w:cs="Arial"/>
        </w:rPr>
        <w:t>Database\</w:t>
      </w:r>
      <w:proofErr w:type="spellStart"/>
      <w:r w:rsidR="00BA23EB">
        <w:rPr>
          <w:rFonts w:ascii="Arial" w:hAnsi="Arial" w:cs="Arial"/>
        </w:rPr>
        <w:t>Demodata</w:t>
      </w:r>
      <w:proofErr w:type="spellEnd"/>
      <w:r w:rsidR="00BA23EB">
        <w:rPr>
          <w:rFonts w:ascii="Arial" w:hAnsi="Arial" w:cs="Arial"/>
        </w:rPr>
        <w:t>\</w:t>
      </w:r>
      <w:proofErr w:type="spellStart"/>
      <w:r>
        <w:rPr>
          <w:rFonts w:ascii="Arial" w:hAnsi="Arial" w:cs="Arial"/>
        </w:rPr>
        <w:t>DefaultData.sql</w:t>
      </w:r>
      <w:proofErr w:type="spellEnd"/>
      <w:r>
        <w:rPr>
          <w:rFonts w:ascii="Arial" w:hAnsi="Arial" w:cs="Arial"/>
        </w:rPr>
        <w:t xml:space="preserve"> to load data into various lookup and parameter tables.</w:t>
      </w:r>
      <w:r w:rsidR="00263241">
        <w:rPr>
          <w:rFonts w:ascii="Arial" w:hAnsi="Arial" w:cs="Arial"/>
        </w:rPr>
        <w:t xml:space="preserve"> This script creates a </w:t>
      </w:r>
      <w:r w:rsidR="00CB4DEA">
        <w:rPr>
          <w:rFonts w:ascii="Arial" w:hAnsi="Arial" w:cs="Arial"/>
        </w:rPr>
        <w:t xml:space="preserve">demo </w:t>
      </w:r>
      <w:r w:rsidR="00263241">
        <w:rPr>
          <w:rFonts w:ascii="Arial" w:hAnsi="Arial" w:cs="Arial"/>
        </w:rPr>
        <w:t xml:space="preserve">project </w:t>
      </w:r>
      <w:r w:rsidR="00CB4DEA">
        <w:rPr>
          <w:rFonts w:ascii="Arial" w:hAnsi="Arial" w:cs="Arial"/>
        </w:rPr>
        <w:t>and a few example user accounts. Edit these as needed.</w:t>
      </w:r>
    </w:p>
    <w:p w:rsidR="00A75564" w:rsidRDefault="00263241" w:rsidP="00DB148A">
      <w:pPr>
        <w:pStyle w:val="ListParagraph"/>
        <w:numPr>
          <w:ilvl w:val="1"/>
          <w:numId w:val="4"/>
        </w:numPr>
        <w:spacing w:after="0" w:line="240" w:lineRule="auto"/>
        <w:rPr>
          <w:rFonts w:ascii="Arial" w:hAnsi="Arial" w:cs="Arial"/>
        </w:rPr>
      </w:pPr>
      <w:r>
        <w:rPr>
          <w:rFonts w:ascii="Arial" w:hAnsi="Arial" w:cs="Arial"/>
        </w:rPr>
        <w:t xml:space="preserve">Run </w:t>
      </w:r>
      <w:r w:rsidR="00BA23EB">
        <w:rPr>
          <w:rFonts w:ascii="Arial" w:hAnsi="Arial" w:cs="Arial"/>
        </w:rPr>
        <w:t>Database\</w:t>
      </w:r>
      <w:proofErr w:type="spellStart"/>
      <w:r w:rsidR="00BA23EB">
        <w:rPr>
          <w:rFonts w:ascii="Arial" w:hAnsi="Arial" w:cs="Arial"/>
        </w:rPr>
        <w:t>Demodata</w:t>
      </w:r>
      <w:proofErr w:type="spellEnd"/>
      <w:r w:rsidR="00BA23EB">
        <w:rPr>
          <w:rFonts w:ascii="Arial" w:hAnsi="Arial" w:cs="Arial"/>
        </w:rPr>
        <w:t>\</w:t>
      </w:r>
      <w:r>
        <w:rPr>
          <w:rFonts w:ascii="Arial" w:hAnsi="Arial" w:cs="Arial"/>
        </w:rPr>
        <w:t xml:space="preserve">DemoOntologyPart1.sql and </w:t>
      </w:r>
      <w:r w:rsidR="00BA23EB">
        <w:rPr>
          <w:rFonts w:ascii="Arial" w:hAnsi="Arial" w:cs="Arial"/>
        </w:rPr>
        <w:t>Database\</w:t>
      </w:r>
      <w:proofErr w:type="spellStart"/>
      <w:r w:rsidR="00BA23EB">
        <w:rPr>
          <w:rFonts w:ascii="Arial" w:hAnsi="Arial" w:cs="Arial"/>
        </w:rPr>
        <w:t>Demodata</w:t>
      </w:r>
      <w:proofErr w:type="spellEnd"/>
      <w:r w:rsidR="00BA23EB">
        <w:rPr>
          <w:rFonts w:ascii="Arial" w:hAnsi="Arial" w:cs="Arial"/>
        </w:rPr>
        <w:t>\</w:t>
      </w:r>
      <w:r>
        <w:rPr>
          <w:rFonts w:ascii="Arial" w:hAnsi="Arial" w:cs="Arial"/>
        </w:rPr>
        <w:t xml:space="preserve">DemoOntologyPart2.sql to install a subset of the standard i2b2 demo ontology. </w:t>
      </w:r>
      <w:r w:rsidR="00CB4DEA">
        <w:rPr>
          <w:rFonts w:ascii="Arial" w:hAnsi="Arial" w:cs="Arial"/>
        </w:rPr>
        <w:t>These scripts might take several minutes to run. Replace these with your own ontology.</w:t>
      </w:r>
    </w:p>
    <w:p w:rsidR="00A15544" w:rsidRDefault="00A15544" w:rsidP="00DB148A">
      <w:pPr>
        <w:pStyle w:val="ListParagraph"/>
        <w:numPr>
          <w:ilvl w:val="1"/>
          <w:numId w:val="4"/>
        </w:numPr>
        <w:spacing w:after="0" w:line="240" w:lineRule="auto"/>
        <w:rPr>
          <w:rFonts w:ascii="Arial" w:hAnsi="Arial" w:cs="Arial"/>
        </w:rPr>
      </w:pPr>
      <w:r>
        <w:rPr>
          <w:rFonts w:ascii="Arial" w:hAnsi="Arial" w:cs="Arial"/>
        </w:rPr>
        <w:t>Load the CRC.CONCEPT_DIMENSION table using the following query. Again, customize this based on your ontology.</w:t>
      </w:r>
    </w:p>
    <w:p w:rsidR="00364A9A" w:rsidRDefault="00364A9A" w:rsidP="00364A9A">
      <w:pPr>
        <w:pStyle w:val="ListParagraph"/>
        <w:spacing w:after="0" w:line="240" w:lineRule="auto"/>
        <w:ind w:left="1440"/>
        <w:rPr>
          <w:rFonts w:ascii="Arial" w:hAnsi="Arial" w:cs="Arial"/>
        </w:rPr>
      </w:pPr>
    </w:p>
    <w:p w:rsidR="00A15544" w:rsidRDefault="00A15544" w:rsidP="00A1554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A15544">
        <w:rPr>
          <w:rFonts w:ascii="Courier New" w:hAnsi="Courier New" w:cs="Courier New"/>
          <w:sz w:val="20"/>
        </w:rPr>
        <w:t>IN</w:t>
      </w:r>
      <w:r>
        <w:rPr>
          <w:rFonts w:ascii="Courier New" w:hAnsi="Courier New" w:cs="Courier New"/>
          <w:sz w:val="20"/>
        </w:rPr>
        <w:t>SERT INTO CRC.CONCEPT_DIMENSION</w:t>
      </w:r>
    </w:p>
    <w:p w:rsidR="00A15544" w:rsidRPr="00A15544" w:rsidRDefault="00A15544" w:rsidP="00A1554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Pr>
          <w:rFonts w:ascii="Courier New" w:hAnsi="Courier New" w:cs="Courier New"/>
          <w:sz w:val="20"/>
        </w:rPr>
        <w:t xml:space="preserve">    </w:t>
      </w:r>
      <w:r w:rsidRPr="00A15544">
        <w:rPr>
          <w:rFonts w:ascii="Courier New" w:hAnsi="Courier New" w:cs="Courier New"/>
          <w:sz w:val="20"/>
        </w:rPr>
        <w:t>(CONCEPT_PATH, CONCEPT_CD, NAME_CHAR, SOURCESYSTEM_CD)</w:t>
      </w:r>
    </w:p>
    <w:p w:rsidR="00A15544" w:rsidRPr="00A15544" w:rsidRDefault="00A15544" w:rsidP="00A1554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A15544">
        <w:rPr>
          <w:rFonts w:ascii="Courier New" w:hAnsi="Courier New" w:cs="Courier New"/>
          <w:sz w:val="20"/>
        </w:rPr>
        <w:t xml:space="preserve">  SELECT C_FULLNAME, C_BASECODE, C_NAME, SOURCESYSTEM_CD</w:t>
      </w:r>
    </w:p>
    <w:p w:rsidR="00A15544" w:rsidRPr="00A15544" w:rsidRDefault="00A15544" w:rsidP="00A1554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A15544">
        <w:rPr>
          <w:rFonts w:ascii="Courier New" w:hAnsi="Courier New" w:cs="Courier New"/>
          <w:sz w:val="20"/>
        </w:rPr>
        <w:t xml:space="preserve">  FROM ONT.I2B2</w:t>
      </w:r>
    </w:p>
    <w:p w:rsidR="00A15544" w:rsidRPr="00A15544" w:rsidRDefault="00A15544" w:rsidP="00A1554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A15544">
        <w:rPr>
          <w:rFonts w:ascii="Courier New" w:hAnsi="Courier New" w:cs="Courier New"/>
          <w:sz w:val="20"/>
        </w:rPr>
        <w:t xml:space="preserve">  WHERE C_SYNONYM_CD='N' AND C_FACTTABLECOLUMN='</w:t>
      </w:r>
      <w:proofErr w:type="spellStart"/>
      <w:r w:rsidRPr="00A15544">
        <w:rPr>
          <w:rFonts w:ascii="Courier New" w:hAnsi="Courier New" w:cs="Courier New"/>
          <w:sz w:val="20"/>
        </w:rPr>
        <w:t>concept_cd</w:t>
      </w:r>
      <w:proofErr w:type="spellEnd"/>
      <w:r w:rsidRPr="00A15544">
        <w:rPr>
          <w:rFonts w:ascii="Courier New" w:hAnsi="Courier New" w:cs="Courier New"/>
          <w:sz w:val="20"/>
        </w:rPr>
        <w:t xml:space="preserve">' </w:t>
      </w:r>
    </w:p>
    <w:p w:rsidR="00A15544" w:rsidRPr="00A15544" w:rsidRDefault="00A15544" w:rsidP="00A1554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A15544">
        <w:rPr>
          <w:rFonts w:ascii="Courier New" w:hAnsi="Courier New" w:cs="Courier New"/>
          <w:sz w:val="20"/>
        </w:rPr>
        <w:t xml:space="preserve">    AND C_TABLENAME='</w:t>
      </w:r>
      <w:proofErr w:type="spellStart"/>
      <w:r w:rsidRPr="00A15544">
        <w:rPr>
          <w:rFonts w:ascii="Courier New" w:hAnsi="Courier New" w:cs="Courier New"/>
          <w:sz w:val="20"/>
        </w:rPr>
        <w:t>concept_dimension</w:t>
      </w:r>
      <w:proofErr w:type="spellEnd"/>
      <w:r w:rsidRPr="00A15544">
        <w:rPr>
          <w:rFonts w:ascii="Courier New" w:hAnsi="Courier New" w:cs="Courier New"/>
          <w:sz w:val="20"/>
        </w:rPr>
        <w:t>' AND C_COLUMNNAME='</w:t>
      </w:r>
      <w:proofErr w:type="spellStart"/>
      <w:r w:rsidRPr="00A15544">
        <w:rPr>
          <w:rFonts w:ascii="Courier New" w:hAnsi="Courier New" w:cs="Courier New"/>
          <w:sz w:val="20"/>
        </w:rPr>
        <w:t>concept_path</w:t>
      </w:r>
      <w:proofErr w:type="spellEnd"/>
      <w:r w:rsidRPr="00A15544">
        <w:rPr>
          <w:rFonts w:ascii="Courier New" w:hAnsi="Courier New" w:cs="Courier New"/>
          <w:sz w:val="20"/>
        </w:rPr>
        <w:t xml:space="preserve">' </w:t>
      </w:r>
    </w:p>
    <w:p w:rsidR="00A15544" w:rsidRPr="00A15544" w:rsidRDefault="00A15544" w:rsidP="00A1554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A15544">
        <w:rPr>
          <w:rFonts w:ascii="Courier New" w:hAnsi="Courier New" w:cs="Courier New"/>
          <w:sz w:val="20"/>
        </w:rPr>
        <w:t xml:space="preserve">    AND M_APPLIED_PATH='@' AND C_BASECODE&lt;&gt;''</w:t>
      </w:r>
    </w:p>
    <w:p w:rsidR="00364A9A" w:rsidRDefault="00364A9A" w:rsidP="00364A9A">
      <w:pPr>
        <w:pStyle w:val="ListParagraph"/>
        <w:spacing w:after="0" w:line="240" w:lineRule="auto"/>
        <w:rPr>
          <w:rFonts w:ascii="Arial" w:hAnsi="Arial" w:cs="Arial"/>
        </w:rPr>
      </w:pPr>
    </w:p>
    <w:p w:rsidR="003C1088" w:rsidRDefault="003C1088" w:rsidP="00A4267F">
      <w:pPr>
        <w:pStyle w:val="ListParagraph"/>
        <w:numPr>
          <w:ilvl w:val="0"/>
          <w:numId w:val="2"/>
        </w:numPr>
        <w:spacing w:after="0" w:line="240" w:lineRule="auto"/>
        <w:rPr>
          <w:rFonts w:ascii="Arial" w:hAnsi="Arial" w:cs="Arial"/>
        </w:rPr>
      </w:pPr>
      <w:r>
        <w:rPr>
          <w:rFonts w:ascii="Arial" w:hAnsi="Arial" w:cs="Arial"/>
        </w:rPr>
        <w:t>Load the clinical data (fact and dimension tables).</w:t>
      </w:r>
    </w:p>
    <w:p w:rsidR="003C1088" w:rsidRDefault="003C1088" w:rsidP="00A4267F">
      <w:pPr>
        <w:pStyle w:val="ListParagraph"/>
        <w:numPr>
          <w:ilvl w:val="0"/>
          <w:numId w:val="5"/>
        </w:numPr>
        <w:spacing w:after="0" w:line="240" w:lineRule="auto"/>
        <w:rPr>
          <w:rFonts w:ascii="Arial" w:hAnsi="Arial" w:cs="Arial"/>
        </w:rPr>
      </w:pPr>
      <w:r>
        <w:rPr>
          <w:rFonts w:ascii="Arial" w:hAnsi="Arial" w:cs="Arial"/>
        </w:rPr>
        <w:t xml:space="preserve">Execute the </w:t>
      </w:r>
      <w:r w:rsidR="00704A05">
        <w:rPr>
          <w:rFonts w:ascii="Arial" w:hAnsi="Arial" w:cs="Arial"/>
        </w:rPr>
        <w:t xml:space="preserve">first of six data update </w:t>
      </w:r>
      <w:r>
        <w:rPr>
          <w:rFonts w:ascii="Arial" w:hAnsi="Arial" w:cs="Arial"/>
        </w:rPr>
        <w:t>stored procedure</w:t>
      </w:r>
      <w:r w:rsidR="00704A05">
        <w:rPr>
          <w:rFonts w:ascii="Arial" w:hAnsi="Arial" w:cs="Arial"/>
        </w:rPr>
        <w:t>s:</w:t>
      </w:r>
    </w:p>
    <w:p w:rsidR="00704A05" w:rsidRPr="00704A05" w:rsidRDefault="00704A05" w:rsidP="00704A05">
      <w:pPr>
        <w:spacing w:after="0" w:line="240" w:lineRule="auto"/>
        <w:rPr>
          <w:rFonts w:ascii="Arial" w:hAnsi="Arial" w:cs="Arial"/>
        </w:rPr>
      </w:pPr>
    </w:p>
    <w:p w:rsidR="00704A05" w:rsidRPr="00704A05" w:rsidRDefault="00704A05" w:rsidP="00704A05">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18"/>
        </w:rPr>
      </w:pPr>
      <w:r w:rsidRPr="00704A05">
        <w:rPr>
          <w:rFonts w:ascii="Courier New" w:hAnsi="Courier New" w:cs="Courier New"/>
          <w:sz w:val="20"/>
        </w:rPr>
        <w:t>EXEC CRC.uspUpdateStep1CreateDataTables</w:t>
      </w:r>
      <w:r>
        <w:rPr>
          <w:rFonts w:ascii="Courier New" w:hAnsi="Courier New" w:cs="Courier New"/>
          <w:sz w:val="20"/>
        </w:rPr>
        <w:t>;</w:t>
      </w:r>
    </w:p>
    <w:p w:rsidR="00704A05" w:rsidRPr="00704A05" w:rsidRDefault="00704A05" w:rsidP="00704A05">
      <w:pPr>
        <w:spacing w:after="0" w:line="240" w:lineRule="auto"/>
        <w:ind w:left="360"/>
        <w:rPr>
          <w:rFonts w:ascii="Arial" w:hAnsi="Arial" w:cs="Arial"/>
        </w:rPr>
      </w:pPr>
    </w:p>
    <w:p w:rsidR="00CB4DEA" w:rsidRDefault="00CB4DEA" w:rsidP="00A4267F">
      <w:pPr>
        <w:pStyle w:val="ListParagraph"/>
        <w:numPr>
          <w:ilvl w:val="0"/>
          <w:numId w:val="5"/>
        </w:numPr>
        <w:spacing w:after="0" w:line="240" w:lineRule="auto"/>
        <w:rPr>
          <w:rFonts w:ascii="Arial" w:hAnsi="Arial" w:cs="Arial"/>
        </w:rPr>
      </w:pPr>
      <w:r>
        <w:rPr>
          <w:rFonts w:ascii="Arial" w:hAnsi="Arial" w:cs="Arial"/>
        </w:rPr>
        <w:t xml:space="preserve">Run </w:t>
      </w:r>
      <w:r w:rsidR="00BA23EB">
        <w:rPr>
          <w:rFonts w:ascii="Arial" w:hAnsi="Arial" w:cs="Arial"/>
        </w:rPr>
        <w:t>Database\</w:t>
      </w:r>
      <w:proofErr w:type="spellStart"/>
      <w:r w:rsidR="00BA23EB">
        <w:rPr>
          <w:rFonts w:ascii="Arial" w:hAnsi="Arial" w:cs="Arial"/>
        </w:rPr>
        <w:t>Demodata</w:t>
      </w:r>
      <w:proofErr w:type="spellEnd"/>
      <w:r w:rsidR="00BA23EB">
        <w:rPr>
          <w:rFonts w:ascii="Arial" w:hAnsi="Arial" w:cs="Arial"/>
        </w:rPr>
        <w:t>\</w:t>
      </w:r>
      <w:proofErr w:type="spellStart"/>
      <w:r>
        <w:rPr>
          <w:rFonts w:ascii="Arial" w:hAnsi="Arial" w:cs="Arial"/>
        </w:rPr>
        <w:t>DemoDataPatientVisit.sql</w:t>
      </w:r>
      <w:proofErr w:type="spellEnd"/>
      <w:r>
        <w:rPr>
          <w:rFonts w:ascii="Arial" w:hAnsi="Arial" w:cs="Arial"/>
        </w:rPr>
        <w:t xml:space="preserve">, </w:t>
      </w:r>
      <w:r w:rsidR="00BA23EB">
        <w:rPr>
          <w:rFonts w:ascii="Arial" w:hAnsi="Arial" w:cs="Arial"/>
        </w:rPr>
        <w:t>Database\</w:t>
      </w:r>
      <w:proofErr w:type="spellStart"/>
      <w:r w:rsidR="00BA23EB">
        <w:rPr>
          <w:rFonts w:ascii="Arial" w:hAnsi="Arial" w:cs="Arial"/>
        </w:rPr>
        <w:t>Demodata</w:t>
      </w:r>
      <w:proofErr w:type="spellEnd"/>
      <w:r w:rsidR="00BA23EB">
        <w:rPr>
          <w:rFonts w:ascii="Arial" w:hAnsi="Arial" w:cs="Arial"/>
        </w:rPr>
        <w:t>\</w:t>
      </w:r>
      <w:proofErr w:type="spellStart"/>
      <w:r>
        <w:rPr>
          <w:rFonts w:ascii="Arial" w:hAnsi="Arial" w:cs="Arial"/>
        </w:rPr>
        <w:t>DemoDataModifierProvider.sql</w:t>
      </w:r>
      <w:proofErr w:type="spellEnd"/>
      <w:r>
        <w:rPr>
          <w:rFonts w:ascii="Arial" w:hAnsi="Arial" w:cs="Arial"/>
        </w:rPr>
        <w:t xml:space="preserve">, and </w:t>
      </w:r>
      <w:r w:rsidR="00BA23EB">
        <w:rPr>
          <w:rFonts w:ascii="Arial" w:hAnsi="Arial" w:cs="Arial"/>
        </w:rPr>
        <w:t>Database\</w:t>
      </w:r>
      <w:proofErr w:type="spellStart"/>
      <w:r w:rsidR="00BA23EB">
        <w:rPr>
          <w:rFonts w:ascii="Arial" w:hAnsi="Arial" w:cs="Arial"/>
        </w:rPr>
        <w:t>Demodata</w:t>
      </w:r>
      <w:proofErr w:type="spellEnd"/>
      <w:r w:rsidR="00BA23EB">
        <w:rPr>
          <w:rFonts w:ascii="Arial" w:hAnsi="Arial" w:cs="Arial"/>
        </w:rPr>
        <w:t>\</w:t>
      </w:r>
      <w:proofErr w:type="spellStart"/>
      <w:r>
        <w:rPr>
          <w:rFonts w:ascii="Arial" w:hAnsi="Arial" w:cs="Arial"/>
        </w:rPr>
        <w:t>DemoDataFact.sql</w:t>
      </w:r>
      <w:proofErr w:type="spellEnd"/>
      <w:r>
        <w:rPr>
          <w:rFonts w:ascii="Arial" w:hAnsi="Arial" w:cs="Arial"/>
        </w:rPr>
        <w:t xml:space="preserve"> to load a subset of the standard i2b2 demo </w:t>
      </w:r>
      <w:r>
        <w:rPr>
          <w:rFonts w:ascii="Arial" w:hAnsi="Arial" w:cs="Arial"/>
        </w:rPr>
        <w:lastRenderedPageBreak/>
        <w:t>dataset.</w:t>
      </w:r>
      <w:r w:rsidR="00704A05">
        <w:rPr>
          <w:rFonts w:ascii="Arial" w:hAnsi="Arial" w:cs="Arial"/>
        </w:rPr>
        <w:t xml:space="preserve"> (Normally, instead of loading data this way, you would execute the CRC.uspUpdateStep2LoadDataTables procedure after replacing its code with your custom ETL</w:t>
      </w:r>
      <w:r w:rsidR="00A4267F">
        <w:rPr>
          <w:rFonts w:ascii="Arial" w:hAnsi="Arial" w:cs="Arial"/>
        </w:rPr>
        <w:t xml:space="preserve"> process.)</w:t>
      </w:r>
    </w:p>
    <w:p w:rsidR="00793277" w:rsidRDefault="00793277" w:rsidP="00A4267F">
      <w:pPr>
        <w:pStyle w:val="ListParagraph"/>
        <w:numPr>
          <w:ilvl w:val="0"/>
          <w:numId w:val="5"/>
        </w:numPr>
        <w:spacing w:after="0" w:line="240" w:lineRule="auto"/>
        <w:rPr>
          <w:rFonts w:ascii="Arial" w:hAnsi="Arial" w:cs="Arial"/>
        </w:rPr>
      </w:pPr>
      <w:r>
        <w:rPr>
          <w:rFonts w:ascii="Arial" w:hAnsi="Arial" w:cs="Arial"/>
        </w:rPr>
        <w:t>Run the following query to load the new concept dimension table. (This step would also be replaced by your customized CRC.uspUpdateStep2LoadDataTables procedure.)</w:t>
      </w:r>
    </w:p>
    <w:p w:rsidR="00793277" w:rsidRPr="00793277" w:rsidRDefault="00793277" w:rsidP="00793277">
      <w:pPr>
        <w:pStyle w:val="ListParagraph"/>
        <w:spacing w:after="0" w:line="240" w:lineRule="auto"/>
        <w:ind w:left="1440"/>
        <w:rPr>
          <w:rFonts w:ascii="Arial" w:hAnsi="Arial" w:cs="Arial"/>
        </w:rPr>
      </w:pPr>
    </w:p>
    <w:p w:rsidR="00793277" w:rsidRDefault="00793277" w:rsidP="00793277">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Pr>
          <w:rFonts w:ascii="Courier New" w:hAnsi="Courier New" w:cs="Courier New"/>
          <w:sz w:val="20"/>
        </w:rPr>
        <w:t>INSERT INTO CRC.CONCEPT_DIME</w:t>
      </w:r>
      <w:r w:rsidR="003C691A">
        <w:rPr>
          <w:rFonts w:ascii="Courier New" w:hAnsi="Courier New" w:cs="Courier New"/>
          <w:sz w:val="20"/>
        </w:rPr>
        <w:t>N</w:t>
      </w:r>
      <w:r>
        <w:rPr>
          <w:rFonts w:ascii="Courier New" w:hAnsi="Courier New" w:cs="Courier New"/>
          <w:sz w:val="20"/>
        </w:rPr>
        <w:t>SION_NEW</w:t>
      </w:r>
    </w:p>
    <w:p w:rsidR="00793277" w:rsidRPr="00704A05" w:rsidRDefault="00793277" w:rsidP="00793277">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18"/>
        </w:rPr>
      </w:pPr>
      <w:r>
        <w:rPr>
          <w:rFonts w:ascii="Courier New" w:hAnsi="Courier New" w:cs="Courier New"/>
          <w:sz w:val="20"/>
        </w:rPr>
        <w:t xml:space="preserve">  SELECT * FROM CRC.CONCEPT_DIMENSION</w:t>
      </w:r>
    </w:p>
    <w:p w:rsidR="00793277" w:rsidRPr="00793277" w:rsidRDefault="00793277" w:rsidP="00793277">
      <w:pPr>
        <w:pStyle w:val="ListParagraph"/>
        <w:spacing w:after="0" w:line="240" w:lineRule="auto"/>
        <w:ind w:left="1440"/>
        <w:rPr>
          <w:rFonts w:ascii="Arial" w:hAnsi="Arial" w:cs="Arial"/>
        </w:rPr>
      </w:pPr>
    </w:p>
    <w:p w:rsidR="00704A05" w:rsidRDefault="00704A05" w:rsidP="00A4267F">
      <w:pPr>
        <w:pStyle w:val="ListParagraph"/>
        <w:numPr>
          <w:ilvl w:val="0"/>
          <w:numId w:val="5"/>
        </w:numPr>
        <w:spacing w:after="0" w:line="240" w:lineRule="auto"/>
        <w:rPr>
          <w:rFonts w:ascii="Arial" w:hAnsi="Arial" w:cs="Arial"/>
        </w:rPr>
      </w:pPr>
      <w:r>
        <w:rPr>
          <w:rFonts w:ascii="Arial" w:hAnsi="Arial" w:cs="Arial"/>
        </w:rPr>
        <w:t>Execute the remaining data update stored procedures:</w:t>
      </w:r>
    </w:p>
    <w:p w:rsidR="00704A05" w:rsidRPr="00704A05" w:rsidRDefault="00704A05" w:rsidP="00704A05">
      <w:pPr>
        <w:spacing w:after="0" w:line="240" w:lineRule="auto"/>
        <w:rPr>
          <w:rFonts w:ascii="Arial" w:hAnsi="Arial" w:cs="Arial"/>
        </w:rPr>
      </w:pPr>
    </w:p>
    <w:p w:rsidR="00704A05" w:rsidRPr="00704A05" w:rsidRDefault="00704A05" w:rsidP="00704A0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Pr>
          <w:rFonts w:ascii="Courier New" w:hAnsi="Courier New" w:cs="Courier New"/>
          <w:sz w:val="20"/>
        </w:rPr>
        <w:t>EXEC CRC.uspUpdateStep3IndexDataTables</w:t>
      </w:r>
      <w:r w:rsidRPr="00704A05">
        <w:rPr>
          <w:rFonts w:ascii="Courier New" w:hAnsi="Courier New" w:cs="Courier New"/>
          <w:sz w:val="20"/>
        </w:rPr>
        <w:t>;</w:t>
      </w:r>
    </w:p>
    <w:p w:rsidR="00704A05" w:rsidRPr="00704A05" w:rsidRDefault="00704A05" w:rsidP="00704A0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Pr>
          <w:rFonts w:ascii="Courier New" w:hAnsi="Courier New" w:cs="Courier New"/>
          <w:sz w:val="20"/>
        </w:rPr>
        <w:t>EXEC CRC.uspUpdateStep4CreateCQ2Tables</w:t>
      </w:r>
      <w:r w:rsidRPr="00704A05">
        <w:rPr>
          <w:rFonts w:ascii="Courier New" w:hAnsi="Courier New" w:cs="Courier New"/>
          <w:sz w:val="20"/>
        </w:rPr>
        <w:t>;</w:t>
      </w:r>
    </w:p>
    <w:p w:rsidR="00704A05" w:rsidRPr="00704A05" w:rsidRDefault="00704A05" w:rsidP="00704A0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Pr>
          <w:rFonts w:ascii="Courier New" w:hAnsi="Courier New" w:cs="Courier New"/>
          <w:sz w:val="20"/>
        </w:rPr>
        <w:t>EXEC CRC.uspUpdateStep5SwapTables</w:t>
      </w:r>
      <w:r w:rsidRPr="00704A05">
        <w:rPr>
          <w:rFonts w:ascii="Courier New" w:hAnsi="Courier New" w:cs="Courier New"/>
          <w:sz w:val="20"/>
        </w:rPr>
        <w:t>;</w:t>
      </w:r>
    </w:p>
    <w:p w:rsidR="00704A05" w:rsidRPr="00A4267F" w:rsidRDefault="00704A05" w:rsidP="00A4267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Arial" w:hAnsi="Arial" w:cs="Arial"/>
        </w:rPr>
      </w:pPr>
      <w:r>
        <w:rPr>
          <w:rFonts w:ascii="Courier New" w:hAnsi="Courier New" w:cs="Courier New"/>
          <w:sz w:val="20"/>
        </w:rPr>
        <w:t>EXEC CRC.uspUpdateStep6DropOldTables</w:t>
      </w:r>
      <w:r w:rsidRPr="00704A05">
        <w:rPr>
          <w:rFonts w:ascii="Courier New" w:hAnsi="Courier New" w:cs="Courier New"/>
          <w:sz w:val="20"/>
        </w:rPr>
        <w:t>;</w:t>
      </w:r>
    </w:p>
    <w:p w:rsidR="00364A9A" w:rsidRDefault="00364A9A" w:rsidP="00364A9A">
      <w:pPr>
        <w:pStyle w:val="ListParagraph"/>
        <w:spacing w:after="0" w:line="240" w:lineRule="auto"/>
        <w:rPr>
          <w:rFonts w:ascii="Arial" w:hAnsi="Arial" w:cs="Arial"/>
        </w:rPr>
      </w:pPr>
    </w:p>
    <w:p w:rsidR="002F0D63" w:rsidRDefault="002F0D63" w:rsidP="002F0D63">
      <w:pPr>
        <w:pStyle w:val="ListParagraph"/>
        <w:numPr>
          <w:ilvl w:val="0"/>
          <w:numId w:val="5"/>
        </w:numPr>
        <w:spacing w:after="0" w:line="240" w:lineRule="auto"/>
        <w:rPr>
          <w:rFonts w:ascii="Arial" w:hAnsi="Arial" w:cs="Arial"/>
        </w:rPr>
      </w:pPr>
      <w:r>
        <w:rPr>
          <w:rFonts w:ascii="Arial" w:hAnsi="Arial" w:cs="Arial"/>
        </w:rPr>
        <w:t>Run the following queries to load the patient and encounter mapping tables.</w:t>
      </w:r>
    </w:p>
    <w:p w:rsidR="002F0D63" w:rsidRDefault="002F0D63" w:rsidP="002F0D63">
      <w:pPr>
        <w:spacing w:after="0" w:line="240" w:lineRule="auto"/>
        <w:rPr>
          <w:rFonts w:ascii="Arial" w:hAnsi="Arial" w:cs="Arial"/>
        </w:rPr>
      </w:pP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2F0D63">
        <w:rPr>
          <w:rFonts w:ascii="Courier New" w:hAnsi="Courier New" w:cs="Courier New"/>
          <w:sz w:val="20"/>
        </w:rPr>
        <w:t>INSERT INTO CRC.PATIENT_MAPPING</w:t>
      </w: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2F0D63">
        <w:rPr>
          <w:rFonts w:ascii="Courier New" w:hAnsi="Courier New" w:cs="Courier New"/>
          <w:sz w:val="20"/>
        </w:rPr>
        <w:t xml:space="preserve">  SELECT </w:t>
      </w:r>
      <w:proofErr w:type="gramStart"/>
      <w:r w:rsidRPr="002F0D63">
        <w:rPr>
          <w:rFonts w:ascii="Courier New" w:hAnsi="Courier New" w:cs="Courier New"/>
          <w:sz w:val="20"/>
        </w:rPr>
        <w:t>CAST(</w:t>
      </w:r>
      <w:proofErr w:type="gramEnd"/>
      <w:r w:rsidRPr="002F0D63">
        <w:rPr>
          <w:rFonts w:ascii="Courier New" w:hAnsi="Courier New" w:cs="Courier New"/>
          <w:sz w:val="20"/>
        </w:rPr>
        <w:t xml:space="preserve">PATIENT_NUM AS VARCHAR(50)), 'HIVE', </w:t>
      </w: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2F0D63">
        <w:rPr>
          <w:rFonts w:ascii="Courier New" w:hAnsi="Courier New" w:cs="Courier New"/>
          <w:sz w:val="20"/>
        </w:rPr>
        <w:t xml:space="preserve">    PATIENT_NUM, 'A', '</w:t>
      </w:r>
      <w:r>
        <w:rPr>
          <w:rFonts w:ascii="Courier New" w:hAnsi="Courier New" w:cs="Courier New"/>
          <w:sz w:val="20"/>
        </w:rPr>
        <w:t>d</w:t>
      </w:r>
      <w:r w:rsidRPr="002F0D63">
        <w:rPr>
          <w:rFonts w:ascii="Courier New" w:hAnsi="Courier New" w:cs="Courier New"/>
          <w:sz w:val="20"/>
        </w:rPr>
        <w:t xml:space="preserve">emo', </w:t>
      </w: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2F0D63">
        <w:rPr>
          <w:rFonts w:ascii="Courier New" w:hAnsi="Courier New" w:cs="Courier New"/>
          <w:sz w:val="20"/>
        </w:rPr>
        <w:t xml:space="preserve">    NULL, NULL, NULL, NULL, NULL, NULL</w:t>
      </w: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2F0D63">
        <w:rPr>
          <w:rFonts w:ascii="Courier New" w:hAnsi="Courier New" w:cs="Courier New"/>
          <w:sz w:val="20"/>
        </w:rPr>
        <w:t xml:space="preserve">  FROM CRC.PATIENT_DIMENSION</w:t>
      </w: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2F0D63">
        <w:rPr>
          <w:rFonts w:ascii="Courier New" w:hAnsi="Courier New" w:cs="Courier New"/>
          <w:sz w:val="20"/>
        </w:rPr>
        <w:t>INSERT INTO CRC.ENCOUNTER_MAPPING</w:t>
      </w: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2F0D63">
        <w:rPr>
          <w:rFonts w:ascii="Courier New" w:hAnsi="Courier New" w:cs="Courier New"/>
          <w:sz w:val="20"/>
        </w:rPr>
        <w:t xml:space="preserve">  SELECT </w:t>
      </w:r>
      <w:proofErr w:type="gramStart"/>
      <w:r w:rsidRPr="002F0D63">
        <w:rPr>
          <w:rFonts w:ascii="Courier New" w:hAnsi="Courier New" w:cs="Courier New"/>
          <w:sz w:val="20"/>
        </w:rPr>
        <w:t>CAST(</w:t>
      </w:r>
      <w:proofErr w:type="gramEnd"/>
      <w:r w:rsidRPr="002F0D63">
        <w:rPr>
          <w:rFonts w:ascii="Courier New" w:hAnsi="Courier New" w:cs="Courier New"/>
          <w:sz w:val="20"/>
        </w:rPr>
        <w:t xml:space="preserve">ENCOUNTER_NUM AS VARCHAR(50)), 'HIVE', </w:t>
      </w: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2F0D63">
        <w:rPr>
          <w:rFonts w:ascii="Courier New" w:hAnsi="Courier New" w:cs="Courier New"/>
          <w:sz w:val="20"/>
        </w:rPr>
        <w:t xml:space="preserve">    'demo', ENCOUNTER_NUM, </w:t>
      </w: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2F0D63">
        <w:rPr>
          <w:rFonts w:ascii="Courier New" w:hAnsi="Courier New" w:cs="Courier New"/>
          <w:sz w:val="20"/>
        </w:rPr>
        <w:t xml:space="preserve">    </w:t>
      </w:r>
      <w:proofErr w:type="gramStart"/>
      <w:r w:rsidRPr="002F0D63">
        <w:rPr>
          <w:rFonts w:ascii="Courier New" w:hAnsi="Courier New" w:cs="Courier New"/>
          <w:sz w:val="20"/>
        </w:rPr>
        <w:t>CAST(</w:t>
      </w:r>
      <w:proofErr w:type="gramEnd"/>
      <w:r w:rsidRPr="002F0D63">
        <w:rPr>
          <w:rFonts w:ascii="Courier New" w:hAnsi="Courier New" w:cs="Courier New"/>
          <w:sz w:val="20"/>
        </w:rPr>
        <w:t xml:space="preserve">PATIENT_NUM AS VARCHAR(50)), 'HIVE', </w:t>
      </w:r>
      <w:r>
        <w:rPr>
          <w:rFonts w:ascii="Courier New" w:hAnsi="Courier New" w:cs="Courier New"/>
          <w:sz w:val="20"/>
        </w:rPr>
        <w:t>'A',</w:t>
      </w: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2F0D63">
        <w:rPr>
          <w:rFonts w:ascii="Courier New" w:hAnsi="Courier New" w:cs="Courier New"/>
          <w:sz w:val="20"/>
        </w:rPr>
        <w:t xml:space="preserve">    NULL, NULL, NULL, NULL, NULL, NULL</w:t>
      </w: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2F0D63">
        <w:rPr>
          <w:rFonts w:ascii="Courier New" w:hAnsi="Courier New" w:cs="Courier New"/>
          <w:sz w:val="20"/>
        </w:rPr>
        <w:t xml:space="preserve">  FROM CRC.VISIT_DIMENSION</w:t>
      </w:r>
    </w:p>
    <w:p w:rsidR="002F0D63" w:rsidRPr="002F0D63" w:rsidRDefault="002F0D63" w:rsidP="002F0D63">
      <w:pPr>
        <w:spacing w:after="0" w:line="240" w:lineRule="auto"/>
        <w:rPr>
          <w:rFonts w:ascii="Arial" w:hAnsi="Arial" w:cs="Arial"/>
        </w:rPr>
      </w:pPr>
    </w:p>
    <w:p w:rsidR="00CB4DEA" w:rsidRDefault="00A4267F" w:rsidP="00CB4DEA">
      <w:pPr>
        <w:pStyle w:val="ListParagraph"/>
        <w:numPr>
          <w:ilvl w:val="0"/>
          <w:numId w:val="2"/>
        </w:numPr>
        <w:spacing w:after="0" w:line="240" w:lineRule="auto"/>
        <w:rPr>
          <w:rFonts w:ascii="Arial" w:hAnsi="Arial" w:cs="Arial"/>
        </w:rPr>
      </w:pPr>
      <w:r>
        <w:rPr>
          <w:rFonts w:ascii="Arial" w:hAnsi="Arial" w:cs="Arial"/>
        </w:rPr>
        <w:t>Create a database account that the web services will use.</w:t>
      </w:r>
      <w:r w:rsidR="00AB5722">
        <w:rPr>
          <w:rFonts w:ascii="Arial" w:hAnsi="Arial" w:cs="Arial"/>
        </w:rPr>
        <w:t xml:space="preserve"> </w:t>
      </w:r>
      <w:r w:rsidR="00BA23EB">
        <w:rPr>
          <w:rFonts w:ascii="Arial" w:hAnsi="Arial" w:cs="Arial"/>
        </w:rPr>
        <w:t>Database\</w:t>
      </w:r>
      <w:proofErr w:type="spellStart"/>
      <w:r w:rsidR="00AB5722">
        <w:rPr>
          <w:rFonts w:ascii="Arial" w:hAnsi="Arial" w:cs="Arial"/>
        </w:rPr>
        <w:t>CreateAccount.sql</w:t>
      </w:r>
      <w:proofErr w:type="spellEnd"/>
      <w:r w:rsidR="00AB5722">
        <w:rPr>
          <w:rFonts w:ascii="Arial" w:hAnsi="Arial" w:cs="Arial"/>
        </w:rPr>
        <w:t xml:space="preserve"> contains SQL queries to create an account with the minimum permissions to run CQ2. This script will likely need customization (as described in script comments) for production CQ2 instances.</w:t>
      </w:r>
    </w:p>
    <w:p w:rsidR="009F5995" w:rsidRDefault="00A4267F" w:rsidP="00CB4DEA">
      <w:pPr>
        <w:pStyle w:val="ListParagraph"/>
        <w:numPr>
          <w:ilvl w:val="0"/>
          <w:numId w:val="2"/>
        </w:numPr>
        <w:spacing w:after="0" w:line="240" w:lineRule="auto"/>
        <w:rPr>
          <w:rFonts w:ascii="Arial" w:hAnsi="Arial" w:cs="Arial"/>
        </w:rPr>
      </w:pPr>
      <w:r>
        <w:rPr>
          <w:rFonts w:ascii="Arial" w:hAnsi="Arial" w:cs="Arial"/>
        </w:rPr>
        <w:t xml:space="preserve">Setup the CQ2 </w:t>
      </w:r>
      <w:r w:rsidR="00732A5E">
        <w:rPr>
          <w:rFonts w:ascii="Arial" w:hAnsi="Arial" w:cs="Arial"/>
        </w:rPr>
        <w:t>web service</w:t>
      </w:r>
      <w:r w:rsidR="009F5995">
        <w:rPr>
          <w:rFonts w:ascii="Arial" w:hAnsi="Arial" w:cs="Arial"/>
        </w:rPr>
        <w:t>.</w:t>
      </w:r>
      <w:r w:rsidR="00AB5722">
        <w:rPr>
          <w:rFonts w:ascii="Arial" w:hAnsi="Arial" w:cs="Arial"/>
        </w:rPr>
        <w:t xml:space="preserve"> CQ2 contains both ASP classic and PHP versions of the web service.</w:t>
      </w:r>
      <w:r w:rsidR="00AB5722">
        <w:rPr>
          <w:rFonts w:ascii="Arial" w:hAnsi="Arial" w:cs="Arial"/>
        </w:rPr>
        <w:br/>
        <w:t>ASP Classic:</w:t>
      </w:r>
    </w:p>
    <w:p w:rsidR="009F5995" w:rsidRDefault="009F5995" w:rsidP="001739D9">
      <w:pPr>
        <w:pStyle w:val="ListParagraph"/>
        <w:numPr>
          <w:ilvl w:val="1"/>
          <w:numId w:val="6"/>
        </w:numPr>
        <w:spacing w:after="0" w:line="240" w:lineRule="auto"/>
        <w:rPr>
          <w:rFonts w:ascii="Arial" w:hAnsi="Arial" w:cs="Arial"/>
        </w:rPr>
      </w:pPr>
      <w:r>
        <w:rPr>
          <w:rFonts w:ascii="Arial" w:hAnsi="Arial" w:cs="Arial"/>
        </w:rPr>
        <w:t>Create a di</w:t>
      </w:r>
      <w:r w:rsidR="00732A5E">
        <w:rPr>
          <w:rFonts w:ascii="Arial" w:hAnsi="Arial" w:cs="Arial"/>
        </w:rPr>
        <w:t>rectory on a Windows IIS web server for the CQ2 web service</w:t>
      </w:r>
      <w:r>
        <w:rPr>
          <w:rFonts w:ascii="Arial" w:hAnsi="Arial" w:cs="Arial"/>
        </w:rPr>
        <w:t>.</w:t>
      </w:r>
    </w:p>
    <w:p w:rsidR="009F5995" w:rsidRDefault="009F5995" w:rsidP="001739D9">
      <w:pPr>
        <w:pStyle w:val="ListParagraph"/>
        <w:numPr>
          <w:ilvl w:val="1"/>
          <w:numId w:val="6"/>
        </w:numPr>
        <w:spacing w:after="0" w:line="240" w:lineRule="auto"/>
        <w:rPr>
          <w:rFonts w:ascii="Arial" w:hAnsi="Arial" w:cs="Arial"/>
        </w:rPr>
      </w:pPr>
      <w:r>
        <w:rPr>
          <w:rFonts w:ascii="Arial" w:hAnsi="Arial" w:cs="Arial"/>
        </w:rPr>
        <w:t>Make sure ASP Classic is enabled.</w:t>
      </w:r>
    </w:p>
    <w:p w:rsidR="00A4267F" w:rsidRDefault="009F5995" w:rsidP="001739D9">
      <w:pPr>
        <w:pStyle w:val="ListParagraph"/>
        <w:numPr>
          <w:ilvl w:val="1"/>
          <w:numId w:val="6"/>
        </w:numPr>
        <w:spacing w:after="0" w:line="240" w:lineRule="auto"/>
        <w:rPr>
          <w:rFonts w:ascii="Arial" w:hAnsi="Arial" w:cs="Arial"/>
        </w:rPr>
      </w:pPr>
      <w:r>
        <w:rPr>
          <w:rFonts w:ascii="Arial" w:hAnsi="Arial" w:cs="Arial"/>
        </w:rPr>
        <w:t>Copy</w:t>
      </w:r>
      <w:r w:rsidR="00A4267F">
        <w:rPr>
          <w:rFonts w:ascii="Arial" w:hAnsi="Arial" w:cs="Arial"/>
        </w:rPr>
        <w:t xml:space="preserve"> the file </w:t>
      </w:r>
      <w:proofErr w:type="spellStart"/>
      <w:r w:rsidR="00A54E06">
        <w:rPr>
          <w:rFonts w:ascii="Arial" w:hAnsi="Arial" w:cs="Arial"/>
        </w:rPr>
        <w:t>WebService</w:t>
      </w:r>
      <w:proofErr w:type="spellEnd"/>
      <w:r w:rsidR="00A54E06">
        <w:rPr>
          <w:rFonts w:ascii="Arial" w:hAnsi="Arial" w:cs="Arial"/>
        </w:rPr>
        <w:t>\</w:t>
      </w:r>
      <w:r w:rsidR="00ED3B08">
        <w:rPr>
          <w:rFonts w:ascii="Arial" w:hAnsi="Arial" w:cs="Arial"/>
        </w:rPr>
        <w:t>CQ2</w:t>
      </w:r>
      <w:r w:rsidR="00A4267F">
        <w:rPr>
          <w:rFonts w:ascii="Arial" w:hAnsi="Arial" w:cs="Arial"/>
        </w:rPr>
        <w:t xml:space="preserve">ServiceProxy.asp </w:t>
      </w:r>
      <w:r>
        <w:rPr>
          <w:rFonts w:ascii="Arial" w:hAnsi="Arial" w:cs="Arial"/>
        </w:rPr>
        <w:t>into the directory</w:t>
      </w:r>
      <w:r w:rsidR="00A4267F">
        <w:rPr>
          <w:rFonts w:ascii="Arial" w:hAnsi="Arial" w:cs="Arial"/>
        </w:rPr>
        <w:t>.</w:t>
      </w:r>
      <w:r>
        <w:rPr>
          <w:rFonts w:ascii="Arial" w:hAnsi="Arial" w:cs="Arial"/>
        </w:rPr>
        <w:t xml:space="preserve"> We suggest renaming it default.asp.</w:t>
      </w:r>
    </w:p>
    <w:p w:rsidR="00F478D1" w:rsidRDefault="00F478D1" w:rsidP="001739D9">
      <w:pPr>
        <w:pStyle w:val="ListParagraph"/>
        <w:numPr>
          <w:ilvl w:val="1"/>
          <w:numId w:val="6"/>
        </w:numPr>
        <w:spacing w:after="0" w:line="240" w:lineRule="auto"/>
        <w:rPr>
          <w:rFonts w:ascii="Arial" w:hAnsi="Arial" w:cs="Arial"/>
        </w:rPr>
      </w:pPr>
      <w:r>
        <w:rPr>
          <w:rFonts w:ascii="Arial" w:hAnsi="Arial" w:cs="Arial"/>
        </w:rPr>
        <w:t>Edit the connection string near the top of the file to point to your CQ2 database.</w:t>
      </w:r>
    </w:p>
    <w:p w:rsidR="009F5995" w:rsidRDefault="009F5995" w:rsidP="001739D9">
      <w:pPr>
        <w:pStyle w:val="ListParagraph"/>
        <w:numPr>
          <w:ilvl w:val="1"/>
          <w:numId w:val="6"/>
        </w:numPr>
        <w:spacing w:after="0" w:line="240" w:lineRule="auto"/>
        <w:rPr>
          <w:rFonts w:ascii="Arial" w:hAnsi="Arial" w:cs="Arial"/>
        </w:rPr>
      </w:pPr>
      <w:r>
        <w:rPr>
          <w:rFonts w:ascii="Arial" w:hAnsi="Arial" w:cs="Arial"/>
        </w:rPr>
        <w:t>Update the URLs in the database table PM.PM_CELL_DATA to match where you placed the file. Note that the URLs should be in the form “path</w:t>
      </w:r>
      <w:proofErr w:type="gramStart"/>
      <w:r>
        <w:rPr>
          <w:rFonts w:ascii="Arial" w:hAnsi="Arial" w:cs="Arial"/>
        </w:rPr>
        <w:t>/?/</w:t>
      </w:r>
      <w:proofErr w:type="gramEnd"/>
      <w:r>
        <w:rPr>
          <w:rFonts w:ascii="Arial" w:hAnsi="Arial" w:cs="Arial"/>
        </w:rPr>
        <w:t>service/”. For example, “http://localhost/i2b2/services/?/</w:t>
      </w:r>
      <w:proofErr w:type="spellStart"/>
      <w:r>
        <w:rPr>
          <w:rFonts w:ascii="Arial" w:hAnsi="Arial" w:cs="Arial"/>
        </w:rPr>
        <w:t>QueryToolService</w:t>
      </w:r>
      <w:proofErr w:type="spellEnd"/>
      <w:r>
        <w:rPr>
          <w:rFonts w:ascii="Arial" w:hAnsi="Arial" w:cs="Arial"/>
        </w:rPr>
        <w:t>/”.</w:t>
      </w:r>
      <w:r w:rsidR="00F478D1">
        <w:rPr>
          <w:rFonts w:ascii="Arial" w:hAnsi="Arial" w:cs="Arial"/>
        </w:rPr>
        <w:t xml:space="preserve"> Do not change the service names (the part after the question mark). Only edit the path (the part before the question mark) to match the location of the file. The same file (path) can be used for all cells. Note that if you renamed the file “default.asp”, the URL can be in the form “path</w:t>
      </w:r>
      <w:proofErr w:type="gramStart"/>
      <w:r w:rsidR="00F478D1">
        <w:rPr>
          <w:rFonts w:ascii="Arial" w:hAnsi="Arial" w:cs="Arial"/>
        </w:rPr>
        <w:t>/?/</w:t>
      </w:r>
      <w:proofErr w:type="gramEnd"/>
      <w:r w:rsidR="00F478D1">
        <w:rPr>
          <w:rFonts w:ascii="Arial" w:hAnsi="Arial" w:cs="Arial"/>
        </w:rPr>
        <w:t>service” rather than “path/default.asp?/service”.</w:t>
      </w:r>
    </w:p>
    <w:p w:rsidR="00AB5722" w:rsidRDefault="00AB5722" w:rsidP="00AB5722">
      <w:pPr>
        <w:pStyle w:val="ListParagraph"/>
        <w:spacing w:after="0" w:line="240" w:lineRule="auto"/>
        <w:rPr>
          <w:rFonts w:ascii="Arial" w:hAnsi="Arial" w:cs="Arial"/>
        </w:rPr>
      </w:pPr>
      <w:r>
        <w:rPr>
          <w:rFonts w:ascii="Arial" w:hAnsi="Arial" w:cs="Arial"/>
        </w:rPr>
        <w:t>PHP:</w:t>
      </w:r>
    </w:p>
    <w:p w:rsidR="00AB5722" w:rsidRDefault="00AB5722" w:rsidP="00AB5722">
      <w:pPr>
        <w:pStyle w:val="ListParagraph"/>
        <w:numPr>
          <w:ilvl w:val="0"/>
          <w:numId w:val="18"/>
        </w:numPr>
        <w:spacing w:after="0" w:line="240" w:lineRule="auto"/>
        <w:rPr>
          <w:rFonts w:ascii="Arial" w:hAnsi="Arial" w:cs="Arial"/>
        </w:rPr>
      </w:pPr>
      <w:r>
        <w:rPr>
          <w:rFonts w:ascii="Arial" w:hAnsi="Arial" w:cs="Arial"/>
        </w:rPr>
        <w:t>Create a directory on a Windows IIS</w:t>
      </w:r>
      <w:r w:rsidR="00ED3B08">
        <w:rPr>
          <w:rFonts w:ascii="Arial" w:hAnsi="Arial" w:cs="Arial"/>
        </w:rPr>
        <w:t xml:space="preserve"> / Apache</w:t>
      </w:r>
      <w:r>
        <w:rPr>
          <w:rFonts w:ascii="Arial" w:hAnsi="Arial" w:cs="Arial"/>
        </w:rPr>
        <w:t xml:space="preserve"> web server</w:t>
      </w:r>
      <w:r w:rsidR="00ED3B08">
        <w:rPr>
          <w:rFonts w:ascii="Arial" w:hAnsi="Arial" w:cs="Arial"/>
        </w:rPr>
        <w:t xml:space="preserve"> </w:t>
      </w:r>
      <w:r>
        <w:rPr>
          <w:rFonts w:ascii="Arial" w:hAnsi="Arial" w:cs="Arial"/>
        </w:rPr>
        <w:t>for the CQ2 web service.</w:t>
      </w:r>
    </w:p>
    <w:p w:rsidR="00AB5722" w:rsidRDefault="00ED3B08" w:rsidP="00AB5722">
      <w:pPr>
        <w:pStyle w:val="ListParagraph"/>
        <w:numPr>
          <w:ilvl w:val="0"/>
          <w:numId w:val="18"/>
        </w:numPr>
        <w:spacing w:after="0" w:line="240" w:lineRule="auto"/>
        <w:rPr>
          <w:rFonts w:ascii="Arial" w:hAnsi="Arial" w:cs="Arial"/>
        </w:rPr>
      </w:pPr>
      <w:r>
        <w:rPr>
          <w:rFonts w:ascii="Arial" w:hAnsi="Arial" w:cs="Arial"/>
        </w:rPr>
        <w:t>Install PHP on your web server. CQ2 is tested with PHP 8.x.x.</w:t>
      </w:r>
    </w:p>
    <w:p w:rsidR="00ED3B08" w:rsidRDefault="00ED3B08" w:rsidP="00AB5722">
      <w:pPr>
        <w:pStyle w:val="ListParagraph"/>
        <w:numPr>
          <w:ilvl w:val="0"/>
          <w:numId w:val="18"/>
        </w:numPr>
        <w:spacing w:after="0" w:line="240" w:lineRule="auto"/>
        <w:rPr>
          <w:rFonts w:ascii="Arial" w:hAnsi="Arial" w:cs="Arial"/>
        </w:rPr>
      </w:pPr>
      <w:r>
        <w:rPr>
          <w:rFonts w:ascii="Arial" w:hAnsi="Arial" w:cs="Arial"/>
        </w:rPr>
        <w:t xml:space="preserve">Copy the file </w:t>
      </w:r>
      <w:proofErr w:type="spellStart"/>
      <w:r w:rsidR="00A54E06">
        <w:rPr>
          <w:rFonts w:ascii="Arial" w:hAnsi="Arial" w:cs="Arial"/>
        </w:rPr>
        <w:t>WebService</w:t>
      </w:r>
      <w:proofErr w:type="spellEnd"/>
      <w:r w:rsidR="00A54E06">
        <w:rPr>
          <w:rFonts w:ascii="Arial" w:hAnsi="Arial" w:cs="Arial"/>
        </w:rPr>
        <w:t>\</w:t>
      </w:r>
      <w:r>
        <w:rPr>
          <w:rFonts w:ascii="Arial" w:hAnsi="Arial" w:cs="Arial"/>
        </w:rPr>
        <w:t>CQ2ServiceProxy.php into the directory.</w:t>
      </w:r>
    </w:p>
    <w:p w:rsidR="00ED3B08" w:rsidRPr="00ED3B08" w:rsidRDefault="00ED3B08" w:rsidP="00ED3B08">
      <w:pPr>
        <w:pStyle w:val="ListParagraph"/>
        <w:numPr>
          <w:ilvl w:val="0"/>
          <w:numId w:val="18"/>
        </w:numPr>
        <w:rPr>
          <w:rFonts w:ascii="Arial" w:hAnsi="Arial" w:cs="Arial"/>
        </w:rPr>
      </w:pPr>
      <w:r w:rsidRPr="00ED3B08">
        <w:rPr>
          <w:rFonts w:ascii="Arial" w:hAnsi="Arial" w:cs="Arial"/>
        </w:rPr>
        <w:t>Edit the connection string near the top of the file to point to your CQ2 database.</w:t>
      </w:r>
    </w:p>
    <w:p w:rsidR="00ED3B08" w:rsidRDefault="00ED3B08" w:rsidP="00AB5722">
      <w:pPr>
        <w:pStyle w:val="ListParagraph"/>
        <w:numPr>
          <w:ilvl w:val="0"/>
          <w:numId w:val="18"/>
        </w:numPr>
        <w:spacing w:after="0" w:line="240" w:lineRule="auto"/>
        <w:rPr>
          <w:rFonts w:ascii="Arial" w:hAnsi="Arial" w:cs="Arial"/>
        </w:rPr>
      </w:pPr>
      <w:r>
        <w:rPr>
          <w:rFonts w:ascii="Arial" w:hAnsi="Arial" w:cs="Arial"/>
        </w:rPr>
        <w:lastRenderedPageBreak/>
        <w:t>Update the URLs in the database table PM.PM_CELL_DATA to match where you placed the file. Note that the URLs should be in the form “path/service/”. For example, “</w:t>
      </w:r>
      <w:r w:rsidRPr="00ED3B08">
        <w:rPr>
          <w:rFonts w:ascii="Arial" w:hAnsi="Arial" w:cs="Arial"/>
        </w:rPr>
        <w:t>http://localhost/i2b2/services/CQ2ServiceProxy.php/QueryToolService/</w:t>
      </w:r>
      <w:r>
        <w:rPr>
          <w:rFonts w:ascii="Arial" w:hAnsi="Arial" w:cs="Arial"/>
        </w:rPr>
        <w:t>”. Do not change the service names. Only edit the path to match the location of the file. The same file (path) can be used for all cells</w:t>
      </w:r>
    </w:p>
    <w:p w:rsidR="00AB5722" w:rsidRDefault="00AB5722" w:rsidP="00AB5722">
      <w:pPr>
        <w:pStyle w:val="ListParagraph"/>
        <w:spacing w:after="0" w:line="240" w:lineRule="auto"/>
        <w:rPr>
          <w:rFonts w:ascii="Arial" w:hAnsi="Arial" w:cs="Arial"/>
        </w:rPr>
      </w:pPr>
    </w:p>
    <w:p w:rsidR="00732A5E" w:rsidRDefault="00732A5E" w:rsidP="00CB4DEA">
      <w:pPr>
        <w:pStyle w:val="ListParagraph"/>
        <w:numPr>
          <w:ilvl w:val="0"/>
          <w:numId w:val="2"/>
        </w:numPr>
        <w:spacing w:after="0" w:line="240" w:lineRule="auto"/>
        <w:rPr>
          <w:rFonts w:ascii="Arial" w:hAnsi="Arial" w:cs="Arial"/>
        </w:rPr>
      </w:pPr>
      <w:r>
        <w:rPr>
          <w:rFonts w:ascii="Arial" w:hAnsi="Arial" w:cs="Arial"/>
        </w:rPr>
        <w:t>Setup the i2b2 web client.</w:t>
      </w:r>
    </w:p>
    <w:p w:rsidR="00732A5E" w:rsidRDefault="00732A5E" w:rsidP="001739D9">
      <w:pPr>
        <w:pStyle w:val="ListParagraph"/>
        <w:numPr>
          <w:ilvl w:val="1"/>
          <w:numId w:val="7"/>
        </w:numPr>
        <w:spacing w:after="0" w:line="240" w:lineRule="auto"/>
        <w:rPr>
          <w:rFonts w:ascii="Arial" w:hAnsi="Arial" w:cs="Arial"/>
        </w:rPr>
      </w:pPr>
      <w:r>
        <w:rPr>
          <w:rFonts w:ascii="Arial" w:hAnsi="Arial" w:cs="Arial"/>
        </w:rPr>
        <w:t>Create a directory on a Windows IIS web server for the i2b2 web client.</w:t>
      </w:r>
    </w:p>
    <w:p w:rsidR="001C00F6" w:rsidRDefault="001C00F6" w:rsidP="001739D9">
      <w:pPr>
        <w:pStyle w:val="ListParagraph"/>
        <w:numPr>
          <w:ilvl w:val="1"/>
          <w:numId w:val="7"/>
        </w:numPr>
        <w:spacing w:after="0" w:line="240" w:lineRule="auto"/>
        <w:rPr>
          <w:rFonts w:ascii="Arial" w:hAnsi="Arial" w:cs="Arial"/>
        </w:rPr>
      </w:pPr>
      <w:r>
        <w:rPr>
          <w:rFonts w:ascii="Arial" w:hAnsi="Arial" w:cs="Arial"/>
        </w:rPr>
        <w:t xml:space="preserve">Download the i2b2 web client source code </w:t>
      </w:r>
      <w:r w:rsidRPr="00A4267F">
        <w:rPr>
          <w:rFonts w:ascii="Arial" w:hAnsi="Arial" w:cs="Arial"/>
        </w:rPr>
        <w:t xml:space="preserve">from </w:t>
      </w:r>
      <w:hyperlink r:id="rId7" w:history="1">
        <w:r w:rsidRPr="00A4267F">
          <w:rPr>
            <w:rStyle w:val="Hyperlink"/>
            <w:rFonts w:ascii="Arial" w:hAnsi="Arial" w:cs="Arial"/>
          </w:rPr>
          <w:t>https://www.i2b2.org/software</w:t>
        </w:r>
      </w:hyperlink>
      <w:r w:rsidRPr="00A4267F">
        <w:rPr>
          <w:rFonts w:ascii="Arial" w:hAnsi="Arial" w:cs="Arial"/>
        </w:rPr>
        <w:t>.</w:t>
      </w:r>
      <w:r>
        <w:rPr>
          <w:rFonts w:ascii="Arial" w:hAnsi="Arial" w:cs="Arial"/>
        </w:rPr>
        <w:t xml:space="preserve"> Version 1.7.12 or newer is required for CQ2.</w:t>
      </w:r>
    </w:p>
    <w:p w:rsidR="001C00F6" w:rsidRDefault="001C00F6" w:rsidP="001739D9">
      <w:pPr>
        <w:pStyle w:val="ListParagraph"/>
        <w:numPr>
          <w:ilvl w:val="1"/>
          <w:numId w:val="7"/>
        </w:numPr>
        <w:spacing w:after="0" w:line="240" w:lineRule="auto"/>
        <w:rPr>
          <w:rFonts w:ascii="Arial" w:hAnsi="Arial" w:cs="Arial"/>
        </w:rPr>
      </w:pPr>
      <w:r>
        <w:rPr>
          <w:rFonts w:ascii="Arial" w:hAnsi="Arial" w:cs="Arial"/>
        </w:rPr>
        <w:t>Unzip and copy the i2b2 web client code into the new directory.</w:t>
      </w:r>
    </w:p>
    <w:p w:rsidR="001C00F6" w:rsidRDefault="001C00F6" w:rsidP="001739D9">
      <w:pPr>
        <w:pStyle w:val="ListParagraph"/>
        <w:numPr>
          <w:ilvl w:val="1"/>
          <w:numId w:val="7"/>
        </w:numPr>
        <w:spacing w:after="0" w:line="240" w:lineRule="auto"/>
        <w:rPr>
          <w:rFonts w:ascii="Arial" w:hAnsi="Arial" w:cs="Arial"/>
        </w:rPr>
      </w:pPr>
      <w:r>
        <w:rPr>
          <w:rFonts w:ascii="Arial" w:hAnsi="Arial" w:cs="Arial"/>
        </w:rPr>
        <w:t xml:space="preserve">Edit the i2b2_config_data.js file so that the </w:t>
      </w:r>
      <w:proofErr w:type="spellStart"/>
      <w:r>
        <w:rPr>
          <w:rFonts w:ascii="Arial" w:hAnsi="Arial" w:cs="Arial"/>
        </w:rPr>
        <w:t>urlCellPM</w:t>
      </w:r>
      <w:proofErr w:type="spellEnd"/>
      <w:r>
        <w:rPr>
          <w:rFonts w:ascii="Arial" w:hAnsi="Arial" w:cs="Arial"/>
        </w:rPr>
        <w:t xml:space="preserve"> value is the URL of your PM web service.</w:t>
      </w:r>
      <w:r w:rsidRPr="001C00F6">
        <w:rPr>
          <w:rFonts w:ascii="Arial" w:hAnsi="Arial" w:cs="Arial"/>
        </w:rPr>
        <w:t xml:space="preserve"> </w:t>
      </w:r>
      <w:r>
        <w:rPr>
          <w:rFonts w:ascii="Arial" w:hAnsi="Arial" w:cs="Arial"/>
        </w:rPr>
        <w:t>The URL should be in the form “path</w:t>
      </w:r>
      <w:proofErr w:type="gramStart"/>
      <w:r>
        <w:rPr>
          <w:rFonts w:ascii="Arial" w:hAnsi="Arial" w:cs="Arial"/>
        </w:rPr>
        <w:t>/?/</w:t>
      </w:r>
      <w:bookmarkStart w:id="5" w:name="_Hlk82006485"/>
      <w:proofErr w:type="spellStart"/>
      <w:proofErr w:type="gramEnd"/>
      <w:r>
        <w:rPr>
          <w:rFonts w:ascii="Arial" w:hAnsi="Arial" w:cs="Arial"/>
        </w:rPr>
        <w:t>PMService</w:t>
      </w:r>
      <w:proofErr w:type="spellEnd"/>
      <w:r>
        <w:rPr>
          <w:rFonts w:ascii="Arial" w:hAnsi="Arial" w:cs="Arial"/>
        </w:rPr>
        <w:t>/</w:t>
      </w:r>
      <w:proofErr w:type="spellStart"/>
      <w:r>
        <w:rPr>
          <w:rFonts w:ascii="Arial" w:hAnsi="Arial" w:cs="Arial"/>
        </w:rPr>
        <w:t>getServices</w:t>
      </w:r>
      <w:bookmarkEnd w:id="5"/>
      <w:proofErr w:type="spellEnd"/>
      <w:r>
        <w:rPr>
          <w:rFonts w:ascii="Arial" w:hAnsi="Arial" w:cs="Arial"/>
        </w:rPr>
        <w:t>”</w:t>
      </w:r>
      <w:r w:rsidR="00BA23EB">
        <w:rPr>
          <w:rFonts w:ascii="Arial" w:hAnsi="Arial" w:cs="Arial"/>
        </w:rPr>
        <w:t xml:space="preserve"> for the ASP classic proxy or “path/</w:t>
      </w:r>
      <w:proofErr w:type="spellStart"/>
      <w:r w:rsidR="00BA23EB" w:rsidRPr="00BA23EB">
        <w:rPr>
          <w:rFonts w:ascii="Arial" w:hAnsi="Arial" w:cs="Arial"/>
        </w:rPr>
        <w:t>PMService</w:t>
      </w:r>
      <w:proofErr w:type="spellEnd"/>
      <w:r w:rsidR="00BA23EB" w:rsidRPr="00BA23EB">
        <w:rPr>
          <w:rFonts w:ascii="Arial" w:hAnsi="Arial" w:cs="Arial"/>
        </w:rPr>
        <w:t>/</w:t>
      </w:r>
      <w:proofErr w:type="spellStart"/>
      <w:r w:rsidR="00BA23EB" w:rsidRPr="00BA23EB">
        <w:rPr>
          <w:rFonts w:ascii="Arial" w:hAnsi="Arial" w:cs="Arial"/>
        </w:rPr>
        <w:t>getServices</w:t>
      </w:r>
      <w:proofErr w:type="spellEnd"/>
      <w:r w:rsidR="00BA23EB">
        <w:rPr>
          <w:rFonts w:ascii="Arial" w:hAnsi="Arial" w:cs="Arial"/>
        </w:rPr>
        <w:t>” for the php proxy</w:t>
      </w:r>
      <w:r>
        <w:rPr>
          <w:rFonts w:ascii="Arial" w:hAnsi="Arial" w:cs="Arial"/>
        </w:rPr>
        <w:t>, where the path is the URL of your CQ2 service proxy.</w:t>
      </w:r>
    </w:p>
    <w:p w:rsidR="001C00F6" w:rsidRDefault="001C00F6" w:rsidP="001739D9">
      <w:pPr>
        <w:pStyle w:val="ListParagraph"/>
        <w:numPr>
          <w:ilvl w:val="1"/>
          <w:numId w:val="7"/>
        </w:numPr>
        <w:spacing w:after="0" w:line="240" w:lineRule="auto"/>
        <w:rPr>
          <w:rFonts w:ascii="Arial" w:hAnsi="Arial" w:cs="Arial"/>
        </w:rPr>
      </w:pPr>
      <w:r>
        <w:rPr>
          <w:rFonts w:ascii="Arial" w:hAnsi="Arial" w:cs="Arial"/>
        </w:rPr>
        <w:t xml:space="preserve">Setup the i2b2 web client proxy file. You can either use the </w:t>
      </w:r>
      <w:proofErr w:type="spellStart"/>
      <w:r>
        <w:rPr>
          <w:rFonts w:ascii="Arial" w:hAnsi="Arial" w:cs="Arial"/>
        </w:rPr>
        <w:t>index.php</w:t>
      </w:r>
      <w:proofErr w:type="spellEnd"/>
      <w:r>
        <w:rPr>
          <w:rFonts w:ascii="Arial" w:hAnsi="Arial" w:cs="Arial"/>
        </w:rPr>
        <w:t xml:space="preserve"> proxy that comes with the i2b2 web client (recommended) or the WebClientProxy.asp file that comes with CQ2.</w:t>
      </w:r>
    </w:p>
    <w:p w:rsidR="001C00F6" w:rsidRDefault="001C00F6" w:rsidP="001C00F6">
      <w:pPr>
        <w:pStyle w:val="ListParagraph"/>
        <w:numPr>
          <w:ilvl w:val="2"/>
          <w:numId w:val="2"/>
        </w:numPr>
        <w:spacing w:after="0" w:line="240" w:lineRule="auto"/>
        <w:rPr>
          <w:rFonts w:ascii="Arial" w:hAnsi="Arial" w:cs="Arial"/>
        </w:rPr>
      </w:pPr>
      <w:r>
        <w:rPr>
          <w:rFonts w:ascii="Arial" w:hAnsi="Arial" w:cs="Arial"/>
        </w:rPr>
        <w:t xml:space="preserve">To use </w:t>
      </w:r>
      <w:proofErr w:type="spellStart"/>
      <w:r>
        <w:rPr>
          <w:rFonts w:ascii="Arial" w:hAnsi="Arial" w:cs="Arial"/>
        </w:rPr>
        <w:t>index.php</w:t>
      </w:r>
      <w:proofErr w:type="spellEnd"/>
      <w:r>
        <w:rPr>
          <w:rFonts w:ascii="Arial" w:hAnsi="Arial" w:cs="Arial"/>
        </w:rPr>
        <w:t xml:space="preserve">, first make sure that PHP is enabled for the web client directory. Then, edit the </w:t>
      </w:r>
      <w:proofErr w:type="spellStart"/>
      <w:r>
        <w:rPr>
          <w:rFonts w:ascii="Arial" w:hAnsi="Arial" w:cs="Arial"/>
        </w:rPr>
        <w:t>index.php</w:t>
      </w:r>
      <w:proofErr w:type="spellEnd"/>
      <w:r>
        <w:rPr>
          <w:rFonts w:ascii="Arial" w:hAnsi="Arial" w:cs="Arial"/>
        </w:rPr>
        <w:t xml:space="preserve"> file so that $</w:t>
      </w:r>
      <w:proofErr w:type="spellStart"/>
      <w:r>
        <w:rPr>
          <w:rFonts w:ascii="Arial" w:hAnsi="Arial" w:cs="Arial"/>
        </w:rPr>
        <w:t>pmURL</w:t>
      </w:r>
      <w:proofErr w:type="spellEnd"/>
      <w:r>
        <w:rPr>
          <w:rFonts w:ascii="Arial" w:hAnsi="Arial" w:cs="Arial"/>
        </w:rPr>
        <w:t xml:space="preserve"> points to the PM web service.</w:t>
      </w:r>
    </w:p>
    <w:p w:rsidR="001C00F6" w:rsidRDefault="001C00F6" w:rsidP="001C00F6">
      <w:pPr>
        <w:pStyle w:val="ListParagraph"/>
        <w:numPr>
          <w:ilvl w:val="2"/>
          <w:numId w:val="2"/>
        </w:numPr>
        <w:spacing w:after="0" w:line="240" w:lineRule="auto"/>
        <w:rPr>
          <w:rFonts w:ascii="Arial" w:hAnsi="Arial" w:cs="Arial"/>
        </w:rPr>
      </w:pPr>
      <w:r>
        <w:rPr>
          <w:rFonts w:ascii="Arial" w:hAnsi="Arial" w:cs="Arial"/>
        </w:rPr>
        <w:t>To use the CQ2 WebClientProxy.asp file, copy it to the web client directory. Make sure ASP Classic is enabled.</w:t>
      </w:r>
      <w:r w:rsidR="00147105">
        <w:rPr>
          <w:rFonts w:ascii="Arial" w:hAnsi="Arial" w:cs="Arial"/>
        </w:rPr>
        <w:t xml:space="preserve"> Edit the i2b2_config_data.js file, changing the </w:t>
      </w:r>
      <w:proofErr w:type="spellStart"/>
      <w:r w:rsidR="00147105">
        <w:rPr>
          <w:rFonts w:ascii="Arial" w:hAnsi="Arial" w:cs="Arial"/>
        </w:rPr>
        <w:t>urlProxy</w:t>
      </w:r>
      <w:proofErr w:type="spellEnd"/>
      <w:r w:rsidR="00147105">
        <w:rPr>
          <w:rFonts w:ascii="Arial" w:hAnsi="Arial" w:cs="Arial"/>
        </w:rPr>
        <w:t xml:space="preserve"> value to “WebClientProxy.asp”.</w:t>
      </w:r>
    </w:p>
    <w:p w:rsidR="0005798C" w:rsidRDefault="0005798C">
      <w:pPr>
        <w:rPr>
          <w:rFonts w:ascii="Arial" w:hAnsi="Arial" w:cs="Arial"/>
        </w:rPr>
      </w:pPr>
      <w:r>
        <w:rPr>
          <w:rFonts w:ascii="Arial" w:hAnsi="Arial" w:cs="Arial"/>
        </w:rPr>
        <w:br w:type="page"/>
      </w:r>
    </w:p>
    <w:p w:rsidR="00732A5E" w:rsidRDefault="0005798C" w:rsidP="0005798C">
      <w:pPr>
        <w:pStyle w:val="Heading1"/>
      </w:pPr>
      <w:bookmarkStart w:id="6" w:name="_Toc34172833"/>
      <w:r>
        <w:lastRenderedPageBreak/>
        <w:t>Updating CQ2 Data</w:t>
      </w:r>
      <w:bookmarkEnd w:id="6"/>
    </w:p>
    <w:p w:rsidR="0005798C" w:rsidRDefault="0005798C" w:rsidP="00147105">
      <w:pPr>
        <w:spacing w:after="0" w:line="240" w:lineRule="auto"/>
        <w:rPr>
          <w:rFonts w:ascii="Arial" w:hAnsi="Arial" w:cs="Arial"/>
        </w:rPr>
      </w:pPr>
    </w:p>
    <w:p w:rsidR="0005798C" w:rsidRDefault="0005798C" w:rsidP="00147105">
      <w:pPr>
        <w:spacing w:after="0" w:line="240" w:lineRule="auto"/>
        <w:rPr>
          <w:rFonts w:ascii="Arial" w:hAnsi="Arial" w:cs="Arial"/>
        </w:rPr>
      </w:pPr>
      <w:r>
        <w:rPr>
          <w:rFonts w:ascii="Arial" w:hAnsi="Arial" w:cs="Arial"/>
        </w:rPr>
        <w:t xml:space="preserve">Updating data in CQ2 generally </w:t>
      </w:r>
      <w:r w:rsidR="009531EF">
        <w:rPr>
          <w:rFonts w:ascii="Arial" w:hAnsi="Arial" w:cs="Arial"/>
        </w:rPr>
        <w:t>uses these</w:t>
      </w:r>
      <w:r>
        <w:rPr>
          <w:rFonts w:ascii="Arial" w:hAnsi="Arial" w:cs="Arial"/>
        </w:rPr>
        <w:t xml:space="preserve"> steps:</w:t>
      </w:r>
    </w:p>
    <w:p w:rsidR="0005798C" w:rsidRDefault="0005798C" w:rsidP="0005798C">
      <w:pPr>
        <w:pStyle w:val="ListParagraph"/>
        <w:numPr>
          <w:ilvl w:val="0"/>
          <w:numId w:val="8"/>
        </w:numPr>
        <w:spacing w:after="0" w:line="240" w:lineRule="auto"/>
        <w:rPr>
          <w:rFonts w:ascii="Arial" w:hAnsi="Arial" w:cs="Arial"/>
        </w:rPr>
      </w:pPr>
      <w:r>
        <w:rPr>
          <w:rFonts w:ascii="Arial" w:hAnsi="Arial" w:cs="Arial"/>
        </w:rPr>
        <w:t>A set of new data tables are created. The suffix “_NEW” is added to the names of the new tables. For example, CRC.PATIENT_DIMENSION_NEW.</w:t>
      </w:r>
    </w:p>
    <w:p w:rsidR="0005798C" w:rsidRDefault="0005798C" w:rsidP="0005798C">
      <w:pPr>
        <w:pStyle w:val="ListParagraph"/>
        <w:numPr>
          <w:ilvl w:val="0"/>
          <w:numId w:val="8"/>
        </w:numPr>
        <w:spacing w:after="0" w:line="240" w:lineRule="auto"/>
        <w:rPr>
          <w:rFonts w:ascii="Arial" w:hAnsi="Arial" w:cs="Arial"/>
        </w:rPr>
      </w:pPr>
      <w:r>
        <w:rPr>
          <w:rFonts w:ascii="Arial" w:hAnsi="Arial" w:cs="Arial"/>
        </w:rPr>
        <w:t>Updated data are loaded into these new tables.</w:t>
      </w:r>
    </w:p>
    <w:p w:rsidR="009531EF" w:rsidRDefault="009531EF" w:rsidP="0005798C">
      <w:pPr>
        <w:pStyle w:val="ListParagraph"/>
        <w:numPr>
          <w:ilvl w:val="0"/>
          <w:numId w:val="8"/>
        </w:numPr>
        <w:spacing w:after="0" w:line="240" w:lineRule="auto"/>
        <w:rPr>
          <w:rFonts w:ascii="Arial" w:hAnsi="Arial" w:cs="Arial"/>
        </w:rPr>
      </w:pPr>
      <w:r>
        <w:rPr>
          <w:rFonts w:ascii="Arial" w:hAnsi="Arial" w:cs="Arial"/>
        </w:rPr>
        <w:t>Indexes are added to the new tables.</w:t>
      </w:r>
    </w:p>
    <w:p w:rsidR="0005798C" w:rsidRDefault="0005798C" w:rsidP="0005798C">
      <w:pPr>
        <w:pStyle w:val="ListParagraph"/>
        <w:numPr>
          <w:ilvl w:val="0"/>
          <w:numId w:val="8"/>
        </w:numPr>
        <w:spacing w:after="0" w:line="240" w:lineRule="auto"/>
        <w:rPr>
          <w:rFonts w:ascii="Arial" w:hAnsi="Arial" w:cs="Arial"/>
        </w:rPr>
      </w:pPr>
      <w:r>
        <w:rPr>
          <w:rFonts w:ascii="Arial" w:hAnsi="Arial" w:cs="Arial"/>
        </w:rPr>
        <w:t>CQ2 generates a set of new derived aggregate tables.</w:t>
      </w:r>
      <w:r w:rsidR="00387A6B">
        <w:rPr>
          <w:rFonts w:ascii="Arial" w:hAnsi="Arial" w:cs="Arial"/>
        </w:rPr>
        <w:t xml:space="preserve"> The names of these tables have the prefix “CQ2_”.</w:t>
      </w:r>
    </w:p>
    <w:p w:rsidR="009531EF" w:rsidRPr="009531EF" w:rsidRDefault="009531EF" w:rsidP="009531EF">
      <w:pPr>
        <w:pStyle w:val="ListParagraph"/>
        <w:numPr>
          <w:ilvl w:val="0"/>
          <w:numId w:val="8"/>
        </w:numPr>
        <w:spacing w:after="0" w:line="240" w:lineRule="auto"/>
        <w:rPr>
          <w:rFonts w:ascii="Arial" w:hAnsi="Arial" w:cs="Arial"/>
        </w:rPr>
      </w:pPr>
      <w:r>
        <w:rPr>
          <w:rFonts w:ascii="Arial" w:hAnsi="Arial" w:cs="Arial"/>
        </w:rPr>
        <w:t>The original tables are “swapped” for the new tables. This is done by first adding the</w:t>
      </w:r>
      <w:r w:rsidR="0005798C">
        <w:rPr>
          <w:rFonts w:ascii="Arial" w:hAnsi="Arial" w:cs="Arial"/>
        </w:rPr>
        <w:t xml:space="preserve"> suffix “_OLD” </w:t>
      </w:r>
      <w:r>
        <w:rPr>
          <w:rFonts w:ascii="Arial" w:hAnsi="Arial" w:cs="Arial"/>
        </w:rPr>
        <w:t>t</w:t>
      </w:r>
      <w:r w:rsidR="0005798C">
        <w:rPr>
          <w:rFonts w:ascii="Arial" w:hAnsi="Arial" w:cs="Arial"/>
        </w:rPr>
        <w:t>o the original data tables and derived tables.</w:t>
      </w:r>
      <w:r>
        <w:rPr>
          <w:rFonts w:ascii="Arial" w:hAnsi="Arial" w:cs="Arial"/>
        </w:rPr>
        <w:t xml:space="preserve"> For example, CRC.PATIENT_DIMENSION is renamed CRC.PATIENT_DIMENSION_OLD. Then, t</w:t>
      </w:r>
      <w:r w:rsidRPr="009531EF">
        <w:rPr>
          <w:rFonts w:ascii="Arial" w:hAnsi="Arial" w:cs="Arial"/>
        </w:rPr>
        <w:t>he “_NEW” is removed from the new tables.</w:t>
      </w:r>
    </w:p>
    <w:p w:rsidR="009531EF" w:rsidRDefault="009531EF" w:rsidP="0005798C">
      <w:pPr>
        <w:pStyle w:val="ListParagraph"/>
        <w:numPr>
          <w:ilvl w:val="0"/>
          <w:numId w:val="8"/>
        </w:numPr>
        <w:spacing w:after="0" w:line="240" w:lineRule="auto"/>
        <w:rPr>
          <w:rFonts w:ascii="Arial" w:hAnsi="Arial" w:cs="Arial"/>
        </w:rPr>
      </w:pPr>
      <w:r>
        <w:rPr>
          <w:rFonts w:ascii="Arial" w:hAnsi="Arial" w:cs="Arial"/>
        </w:rPr>
        <w:t xml:space="preserve">The </w:t>
      </w:r>
      <w:r w:rsidR="00DD2AAC">
        <w:rPr>
          <w:rFonts w:ascii="Arial" w:hAnsi="Arial" w:cs="Arial"/>
        </w:rPr>
        <w:t>old tables are dropped.</w:t>
      </w:r>
    </w:p>
    <w:p w:rsidR="00DD2AAC" w:rsidRDefault="00DD2AAC" w:rsidP="00DD2AAC">
      <w:pPr>
        <w:spacing w:after="0" w:line="240" w:lineRule="auto"/>
        <w:rPr>
          <w:rFonts w:ascii="Arial" w:hAnsi="Arial" w:cs="Arial"/>
        </w:rPr>
      </w:pPr>
    </w:p>
    <w:p w:rsidR="00364A9A" w:rsidRDefault="00364A9A" w:rsidP="00DD2AAC">
      <w:pPr>
        <w:spacing w:after="0" w:line="240" w:lineRule="auto"/>
        <w:rPr>
          <w:rFonts w:ascii="Arial" w:hAnsi="Arial" w:cs="Arial"/>
        </w:rPr>
      </w:pPr>
      <w:r>
        <w:rPr>
          <w:rFonts w:ascii="Arial" w:hAnsi="Arial" w:cs="Arial"/>
          <w:u w:val="single"/>
        </w:rPr>
        <w:t xml:space="preserve">*** </w:t>
      </w:r>
      <w:r w:rsidRPr="00364A9A">
        <w:rPr>
          <w:rFonts w:ascii="Arial" w:hAnsi="Arial" w:cs="Arial"/>
          <w:u w:val="single"/>
        </w:rPr>
        <w:t>You will need to customize these steps in several ways</w:t>
      </w:r>
      <w:r>
        <w:rPr>
          <w:rFonts w:ascii="Arial" w:hAnsi="Arial" w:cs="Arial"/>
        </w:rPr>
        <w:t>:</w:t>
      </w:r>
    </w:p>
    <w:p w:rsidR="00364A9A" w:rsidRDefault="00364A9A" w:rsidP="00387A6B">
      <w:pPr>
        <w:spacing w:after="0" w:line="240" w:lineRule="auto"/>
        <w:jc w:val="both"/>
        <w:rPr>
          <w:rFonts w:ascii="Arial" w:hAnsi="Arial" w:cs="Arial"/>
        </w:rPr>
      </w:pPr>
    </w:p>
    <w:p w:rsidR="00DD2AAC" w:rsidRDefault="00DD2AAC" w:rsidP="00387A6B">
      <w:pPr>
        <w:spacing w:after="0" w:line="240" w:lineRule="auto"/>
        <w:jc w:val="both"/>
        <w:rPr>
          <w:rFonts w:ascii="Arial" w:hAnsi="Arial" w:cs="Arial"/>
        </w:rPr>
      </w:pPr>
      <w:r>
        <w:rPr>
          <w:rFonts w:ascii="Arial" w:hAnsi="Arial" w:cs="Arial"/>
        </w:rPr>
        <w:t xml:space="preserve">All steps can be run by executing the procedure </w:t>
      </w:r>
      <w:proofErr w:type="spellStart"/>
      <w:r>
        <w:rPr>
          <w:rFonts w:ascii="Arial" w:hAnsi="Arial" w:cs="Arial"/>
        </w:rPr>
        <w:t>CRC.uspUpdateAllSteps</w:t>
      </w:r>
      <w:proofErr w:type="spellEnd"/>
      <w:r>
        <w:rPr>
          <w:rFonts w:ascii="Arial" w:hAnsi="Arial" w:cs="Arial"/>
        </w:rPr>
        <w:t>, which in turn calls six other procedures corresponding to the six steps (</w:t>
      </w:r>
      <w:proofErr w:type="spellStart"/>
      <w:r>
        <w:rPr>
          <w:rFonts w:ascii="Arial" w:hAnsi="Arial" w:cs="Arial"/>
        </w:rPr>
        <w:t>CRC.uspUpdateStepN</w:t>
      </w:r>
      <w:proofErr w:type="spellEnd"/>
      <w:r>
        <w:rPr>
          <w:rFonts w:ascii="Arial" w:hAnsi="Arial" w:cs="Arial"/>
        </w:rPr>
        <w:t>). However, in practice, we suggest implementing a validation step that checks the new tables before swapping them with the old tables. This could be as simple as manually comparing the old and new row counts before running the last two steps. Also, we often delay dropping the old tables for a while to confirm that users aren’t having any problems after a data update. This allows us to revert back if needed.</w:t>
      </w:r>
    </w:p>
    <w:p w:rsidR="00DD2AAC" w:rsidRDefault="00DD2AAC" w:rsidP="00387A6B">
      <w:pPr>
        <w:spacing w:after="0" w:line="240" w:lineRule="auto"/>
        <w:jc w:val="both"/>
        <w:rPr>
          <w:rFonts w:ascii="Arial" w:hAnsi="Arial" w:cs="Arial"/>
        </w:rPr>
      </w:pPr>
    </w:p>
    <w:p w:rsidR="00DD2AAC" w:rsidRDefault="00DD2AAC" w:rsidP="00387A6B">
      <w:pPr>
        <w:spacing w:after="0" w:line="240" w:lineRule="auto"/>
        <w:jc w:val="both"/>
        <w:rPr>
          <w:rFonts w:ascii="Arial" w:hAnsi="Arial" w:cs="Arial"/>
        </w:rPr>
      </w:pPr>
      <w:r>
        <w:rPr>
          <w:rFonts w:ascii="Arial" w:hAnsi="Arial" w:cs="Arial"/>
        </w:rPr>
        <w:t xml:space="preserve">You must customize the procedure CRC.uspUpdateStep2LoadDataTables for your environment. This procedure copies data into the new tables. </w:t>
      </w:r>
      <w:r w:rsidR="00983D34">
        <w:rPr>
          <w:rFonts w:ascii="Arial" w:hAnsi="Arial" w:cs="Arial"/>
        </w:rPr>
        <w:t>Instead of embedding that code in this procedure, you could alternatively use SSIS or some other ETL process.</w:t>
      </w:r>
    </w:p>
    <w:p w:rsidR="00983D34" w:rsidRDefault="00983D34" w:rsidP="00387A6B">
      <w:pPr>
        <w:spacing w:after="0" w:line="240" w:lineRule="auto"/>
        <w:jc w:val="both"/>
        <w:rPr>
          <w:rFonts w:ascii="Arial" w:hAnsi="Arial" w:cs="Arial"/>
        </w:rPr>
      </w:pPr>
    </w:p>
    <w:p w:rsidR="00983D34" w:rsidRDefault="00983D34" w:rsidP="00387A6B">
      <w:pPr>
        <w:spacing w:after="0" w:line="240" w:lineRule="auto"/>
        <w:jc w:val="both"/>
        <w:rPr>
          <w:rFonts w:ascii="Arial" w:hAnsi="Arial" w:cs="Arial"/>
        </w:rPr>
      </w:pPr>
      <w:r>
        <w:rPr>
          <w:rFonts w:ascii="Arial" w:hAnsi="Arial" w:cs="Arial"/>
        </w:rPr>
        <w:t>You might need to customize the other update procedures too. For example, by default they only update the fact table and the patient, visit, and concept dimension tables. If your provider or modifier data change frequently, you will need to add these to the workflow.</w:t>
      </w:r>
    </w:p>
    <w:p w:rsidR="00364A9A" w:rsidRDefault="00364A9A" w:rsidP="00387A6B">
      <w:pPr>
        <w:spacing w:after="0" w:line="240" w:lineRule="auto"/>
        <w:jc w:val="both"/>
        <w:rPr>
          <w:rFonts w:ascii="Arial" w:hAnsi="Arial" w:cs="Arial"/>
        </w:rPr>
      </w:pPr>
    </w:p>
    <w:p w:rsidR="00364A9A" w:rsidRDefault="00364A9A" w:rsidP="00387A6B">
      <w:pPr>
        <w:spacing w:after="0" w:line="240" w:lineRule="auto"/>
        <w:jc w:val="both"/>
        <w:rPr>
          <w:rFonts w:ascii="Arial" w:hAnsi="Arial" w:cs="Arial"/>
        </w:rPr>
      </w:pPr>
      <w:r>
        <w:rPr>
          <w:rFonts w:ascii="Arial" w:hAnsi="Arial" w:cs="Arial"/>
        </w:rPr>
        <w:t xml:space="preserve">To generate the derived aggregate tables, CQ2 needs the ontology and the </w:t>
      </w:r>
      <w:proofErr w:type="spellStart"/>
      <w:r>
        <w:rPr>
          <w:rFonts w:ascii="Arial" w:hAnsi="Arial" w:cs="Arial"/>
        </w:rPr>
        <w:t>concept_dimension</w:t>
      </w:r>
      <w:proofErr w:type="spellEnd"/>
      <w:r>
        <w:rPr>
          <w:rFonts w:ascii="Arial" w:hAnsi="Arial" w:cs="Arial"/>
        </w:rPr>
        <w:t xml:space="preserve"> data. It </w:t>
      </w:r>
      <w:r w:rsidR="00590ADC">
        <w:rPr>
          <w:rFonts w:ascii="Arial" w:hAnsi="Arial" w:cs="Arial"/>
        </w:rPr>
        <w:t>gets these by calling the views CRC.vwCQ2_Ontology and CRC.vwCQ2_ConceptDimension. By default, the CRC.vwCQ2_Ontology view points to a table named ONT.i2b2. If your ontology is loaded into a different table or multiple tables, then you need to modify this view so that it selects the UNION ALL of these tables. Both views, by default, point to the “live” tables. If you are updating your ontology by placing the data in staging tables (e.g., ONT.i2b2_NEW), then you should modify these views to point to those staging tables.</w:t>
      </w:r>
      <w:r w:rsidR="00FA3C1F">
        <w:rPr>
          <w:rFonts w:ascii="Arial" w:hAnsi="Arial" w:cs="Arial"/>
        </w:rPr>
        <w:t xml:space="preserve"> In other words, the views </w:t>
      </w:r>
      <w:r w:rsidR="00BB1A30">
        <w:rPr>
          <w:rFonts w:ascii="Arial" w:hAnsi="Arial" w:cs="Arial"/>
        </w:rPr>
        <w:t>must</w:t>
      </w:r>
      <w:r w:rsidR="00FA3C1F">
        <w:rPr>
          <w:rFonts w:ascii="Arial" w:hAnsi="Arial" w:cs="Arial"/>
        </w:rPr>
        <w:t xml:space="preserve"> point to the ontology that corresponds to the data in the “_NEW” tables</w:t>
      </w:r>
      <w:r w:rsidR="00BB1A30">
        <w:rPr>
          <w:rFonts w:ascii="Arial" w:hAnsi="Arial" w:cs="Arial"/>
        </w:rPr>
        <w:t xml:space="preserve"> before you execute CRC.uspUpdateStep4CreateCQ2Tables</w:t>
      </w:r>
      <w:r w:rsidR="00FA3C1F">
        <w:rPr>
          <w:rFonts w:ascii="Arial" w:hAnsi="Arial" w:cs="Arial"/>
        </w:rPr>
        <w:t>.</w:t>
      </w:r>
    </w:p>
    <w:p w:rsidR="00387A6B" w:rsidRDefault="00387A6B" w:rsidP="00387A6B">
      <w:pPr>
        <w:spacing w:after="0" w:line="240" w:lineRule="auto"/>
        <w:jc w:val="both"/>
        <w:rPr>
          <w:rFonts w:ascii="Arial" w:hAnsi="Arial" w:cs="Arial"/>
        </w:rPr>
      </w:pPr>
    </w:p>
    <w:p w:rsidR="00387A6B" w:rsidRDefault="00387A6B" w:rsidP="00387A6B">
      <w:pPr>
        <w:spacing w:after="0" w:line="240" w:lineRule="auto"/>
        <w:jc w:val="both"/>
        <w:rPr>
          <w:rFonts w:ascii="Arial" w:hAnsi="Arial" w:cs="Arial"/>
        </w:rPr>
      </w:pPr>
      <w:r>
        <w:rPr>
          <w:rFonts w:ascii="Arial" w:hAnsi="Arial" w:cs="Arial"/>
        </w:rPr>
        <w:t>Instead of reloading the entire fact and dimension tables with each update, it is possible to just add new records to those tables. However, you still have to rebuild the derived aggregate tables. Create a set of “_NEW” views that point to your fact and dimension tables so that the stored procedure CRC.uspUpdateStep4CreateCQ2Tables still works. For example, create a view named “CRC.OBSERVATION_FACT_NEW” that selects all rows from “CRC.OBSERVATION_FACT”.</w:t>
      </w:r>
    </w:p>
    <w:p w:rsidR="00BB1A30" w:rsidRDefault="00BB1A30" w:rsidP="00387A6B">
      <w:pPr>
        <w:spacing w:after="0" w:line="240" w:lineRule="auto"/>
        <w:jc w:val="both"/>
        <w:rPr>
          <w:rFonts w:ascii="Arial" w:hAnsi="Arial" w:cs="Arial"/>
        </w:rPr>
      </w:pPr>
    </w:p>
    <w:p w:rsidR="00590ADC" w:rsidRPr="00DD2AAC" w:rsidRDefault="00590ADC" w:rsidP="00DD2AAC">
      <w:pPr>
        <w:spacing w:after="0" w:line="240" w:lineRule="auto"/>
        <w:rPr>
          <w:rFonts w:ascii="Arial" w:hAnsi="Arial" w:cs="Arial"/>
        </w:rPr>
      </w:pPr>
    </w:p>
    <w:p w:rsidR="00186B18" w:rsidRDefault="00186B18">
      <w:pPr>
        <w:rPr>
          <w:rFonts w:ascii="Arial" w:hAnsi="Arial" w:cs="Arial"/>
        </w:rPr>
      </w:pPr>
      <w:r>
        <w:rPr>
          <w:rFonts w:ascii="Arial" w:hAnsi="Arial" w:cs="Arial"/>
        </w:rPr>
        <w:br w:type="page"/>
      </w:r>
    </w:p>
    <w:p w:rsidR="00186B18" w:rsidRPr="00F33923" w:rsidRDefault="00186B18" w:rsidP="00186B18">
      <w:pPr>
        <w:pStyle w:val="Heading1"/>
      </w:pPr>
      <w:bookmarkStart w:id="7" w:name="_Toc34172834"/>
      <w:r>
        <w:lastRenderedPageBreak/>
        <w:t>Customizations</w:t>
      </w:r>
      <w:bookmarkEnd w:id="7"/>
    </w:p>
    <w:p w:rsidR="00186B18" w:rsidRDefault="00186B18" w:rsidP="00186B18">
      <w:pPr>
        <w:spacing w:after="0" w:line="240" w:lineRule="auto"/>
        <w:rPr>
          <w:rFonts w:ascii="Arial" w:hAnsi="Arial" w:cs="Arial"/>
        </w:rPr>
      </w:pPr>
    </w:p>
    <w:p w:rsidR="00186B18" w:rsidRDefault="00186B18" w:rsidP="00186B18">
      <w:pPr>
        <w:pStyle w:val="Heading2"/>
      </w:pPr>
      <w:bookmarkStart w:id="8" w:name="_Toc34172835"/>
      <w:r>
        <w:t>Using Multiple Databases</w:t>
      </w:r>
      <w:bookmarkEnd w:id="8"/>
    </w:p>
    <w:p w:rsidR="00186B18" w:rsidRDefault="00186B18" w:rsidP="00186B18">
      <w:pPr>
        <w:spacing w:after="0" w:line="240" w:lineRule="auto"/>
        <w:rPr>
          <w:rFonts w:ascii="Arial" w:hAnsi="Arial" w:cs="Arial"/>
        </w:rPr>
      </w:pPr>
    </w:p>
    <w:p w:rsidR="00186B18" w:rsidRDefault="00186B18" w:rsidP="00186B18">
      <w:pPr>
        <w:spacing w:after="0" w:line="240" w:lineRule="auto"/>
        <w:rPr>
          <w:rFonts w:ascii="Arial" w:hAnsi="Arial" w:cs="Arial"/>
        </w:rPr>
      </w:pPr>
      <w:r>
        <w:rPr>
          <w:rFonts w:ascii="Arial" w:hAnsi="Arial" w:cs="Arial"/>
        </w:rPr>
        <w:t>Database views can provide a lot of flexibility on how you setup CQ2. Below are some examples:</w:t>
      </w:r>
    </w:p>
    <w:p w:rsidR="00186B18" w:rsidRDefault="00186B18" w:rsidP="00186B18">
      <w:pPr>
        <w:spacing w:after="0" w:line="240" w:lineRule="auto"/>
        <w:rPr>
          <w:rFonts w:ascii="Arial" w:hAnsi="Arial" w:cs="Arial"/>
        </w:rPr>
      </w:pPr>
    </w:p>
    <w:p w:rsidR="00186B18" w:rsidRDefault="00186B18" w:rsidP="00186B18">
      <w:pPr>
        <w:spacing w:after="0" w:line="240" w:lineRule="auto"/>
        <w:jc w:val="both"/>
        <w:rPr>
          <w:rFonts w:ascii="Arial" w:hAnsi="Arial" w:cs="Arial"/>
        </w:rPr>
      </w:pPr>
      <w:r>
        <w:rPr>
          <w:rFonts w:ascii="Arial" w:hAnsi="Arial" w:cs="Arial"/>
        </w:rPr>
        <w:t>By default, CQ2 uses a single database configuration.</w:t>
      </w:r>
    </w:p>
    <w:p w:rsidR="004476E5" w:rsidRDefault="004476E5" w:rsidP="00186B18">
      <w:pPr>
        <w:spacing w:after="0" w:line="240" w:lineRule="auto"/>
        <w:jc w:val="both"/>
        <w:rPr>
          <w:rFonts w:ascii="Arial" w:hAnsi="Arial" w:cs="Arial"/>
        </w:rPr>
      </w:pPr>
    </w:p>
    <w:tbl>
      <w:tblPr>
        <w:tblStyle w:val="TableGrid"/>
        <w:tblW w:w="0" w:type="auto"/>
        <w:tblLook w:val="04A0" w:firstRow="1" w:lastRow="0" w:firstColumn="1" w:lastColumn="0" w:noHBand="0" w:noVBand="1"/>
      </w:tblPr>
      <w:tblGrid>
        <w:gridCol w:w="5035"/>
      </w:tblGrid>
      <w:tr w:rsidR="00186B18" w:rsidTr="004476E5">
        <w:tc>
          <w:tcPr>
            <w:tcW w:w="5035" w:type="dxa"/>
            <w:shd w:val="clear" w:color="auto" w:fill="BDD6EE" w:themeFill="accent1" w:themeFillTint="66"/>
          </w:tcPr>
          <w:p w:rsidR="00186B18" w:rsidRPr="00A034DA" w:rsidRDefault="00186B18" w:rsidP="00186B18">
            <w:pPr>
              <w:rPr>
                <w:rFonts w:ascii="Arial" w:hAnsi="Arial" w:cs="Arial"/>
                <w:b/>
                <w:sz w:val="20"/>
              </w:rPr>
            </w:pPr>
            <w:r w:rsidRPr="00A034DA">
              <w:rPr>
                <w:rFonts w:ascii="Arial" w:hAnsi="Arial" w:cs="Arial"/>
                <w:b/>
                <w:sz w:val="20"/>
              </w:rPr>
              <w:t>CQ2</w:t>
            </w:r>
          </w:p>
        </w:tc>
      </w:tr>
      <w:tr w:rsidR="00186B18" w:rsidTr="004476E5">
        <w:tc>
          <w:tcPr>
            <w:tcW w:w="5035" w:type="dxa"/>
            <w:shd w:val="clear" w:color="auto" w:fill="F2F2F2" w:themeFill="background1" w:themeFillShade="F2"/>
          </w:tcPr>
          <w:p w:rsidR="00186B18" w:rsidRPr="00A034DA" w:rsidRDefault="00186B18" w:rsidP="00186B18">
            <w:pPr>
              <w:rPr>
                <w:rFonts w:ascii="Arial" w:hAnsi="Arial" w:cs="Arial"/>
                <w:sz w:val="20"/>
              </w:rPr>
            </w:pPr>
            <w:r w:rsidRPr="00A034DA">
              <w:rPr>
                <w:rFonts w:ascii="Arial" w:hAnsi="Arial" w:cs="Arial"/>
                <w:sz w:val="20"/>
              </w:rPr>
              <w:t>All tables and procedures</w:t>
            </w:r>
          </w:p>
        </w:tc>
      </w:tr>
    </w:tbl>
    <w:p w:rsidR="00186B18" w:rsidRDefault="00186B18" w:rsidP="00186B18">
      <w:pPr>
        <w:spacing w:after="0" w:line="240" w:lineRule="auto"/>
        <w:rPr>
          <w:rFonts w:ascii="Arial" w:hAnsi="Arial" w:cs="Arial"/>
        </w:rPr>
      </w:pPr>
    </w:p>
    <w:p w:rsidR="00186B18" w:rsidRDefault="00186B18" w:rsidP="00186B18">
      <w:pPr>
        <w:spacing w:after="0" w:line="240" w:lineRule="auto"/>
        <w:jc w:val="both"/>
        <w:rPr>
          <w:rFonts w:ascii="Arial" w:hAnsi="Arial" w:cs="Arial"/>
        </w:rPr>
      </w:pPr>
      <w:r>
        <w:rPr>
          <w:rFonts w:ascii="Arial" w:hAnsi="Arial" w:cs="Arial"/>
        </w:rPr>
        <w:t>A two database configuration places the patient data and derived aggregate tables in a separate database (CQ2_Data). Views replace tables in the main CQ2 database. During data updates, the entire CQ2_Data database can be swapped with a new database (rather than swapping tables).</w:t>
      </w:r>
    </w:p>
    <w:p w:rsidR="004476E5" w:rsidRDefault="004476E5" w:rsidP="00186B18">
      <w:pPr>
        <w:spacing w:after="0" w:line="240" w:lineRule="auto"/>
        <w:jc w:val="both"/>
        <w:rPr>
          <w:rFonts w:ascii="Arial" w:hAnsi="Arial" w:cs="Arial"/>
        </w:rPr>
      </w:pPr>
    </w:p>
    <w:tbl>
      <w:tblPr>
        <w:tblStyle w:val="TableGrid"/>
        <w:tblW w:w="0" w:type="auto"/>
        <w:tblLook w:val="04A0" w:firstRow="1" w:lastRow="0" w:firstColumn="1" w:lastColumn="0" w:noHBand="0" w:noVBand="1"/>
      </w:tblPr>
      <w:tblGrid>
        <w:gridCol w:w="5035"/>
        <w:gridCol w:w="5035"/>
      </w:tblGrid>
      <w:tr w:rsidR="00186B18" w:rsidTr="004476E5">
        <w:tc>
          <w:tcPr>
            <w:tcW w:w="5035" w:type="dxa"/>
            <w:shd w:val="clear" w:color="auto" w:fill="BDD6EE" w:themeFill="accent1" w:themeFillTint="66"/>
          </w:tcPr>
          <w:p w:rsidR="00186B18" w:rsidRPr="00A034DA" w:rsidRDefault="00186B18" w:rsidP="00186B18">
            <w:pPr>
              <w:rPr>
                <w:rFonts w:ascii="Arial" w:hAnsi="Arial" w:cs="Arial"/>
                <w:b/>
                <w:sz w:val="20"/>
              </w:rPr>
            </w:pPr>
            <w:r w:rsidRPr="00A034DA">
              <w:rPr>
                <w:rFonts w:ascii="Arial" w:hAnsi="Arial" w:cs="Arial"/>
                <w:b/>
                <w:sz w:val="20"/>
              </w:rPr>
              <w:t>CQ2</w:t>
            </w:r>
          </w:p>
        </w:tc>
        <w:tc>
          <w:tcPr>
            <w:tcW w:w="5035" w:type="dxa"/>
            <w:shd w:val="clear" w:color="auto" w:fill="BDD6EE" w:themeFill="accent1" w:themeFillTint="66"/>
          </w:tcPr>
          <w:p w:rsidR="00186B18" w:rsidRPr="00A034DA" w:rsidRDefault="00186B18" w:rsidP="00186B18">
            <w:pPr>
              <w:rPr>
                <w:rFonts w:ascii="Arial" w:hAnsi="Arial" w:cs="Arial"/>
                <w:b/>
                <w:sz w:val="20"/>
              </w:rPr>
            </w:pPr>
            <w:r w:rsidRPr="00A034DA">
              <w:rPr>
                <w:rFonts w:ascii="Arial" w:hAnsi="Arial" w:cs="Arial"/>
                <w:b/>
                <w:sz w:val="20"/>
              </w:rPr>
              <w:t>CQ2_Data</w:t>
            </w:r>
          </w:p>
        </w:tc>
      </w:tr>
      <w:tr w:rsidR="00186B18" w:rsidTr="004476E5">
        <w:tc>
          <w:tcPr>
            <w:tcW w:w="5035" w:type="dxa"/>
            <w:shd w:val="clear" w:color="auto" w:fill="F2F2F2" w:themeFill="background1" w:themeFillShade="F2"/>
          </w:tcPr>
          <w:p w:rsidR="00186B18" w:rsidRPr="00A034DA" w:rsidRDefault="00186B18" w:rsidP="00186B18">
            <w:pPr>
              <w:rPr>
                <w:rFonts w:ascii="Arial" w:hAnsi="Arial" w:cs="Arial"/>
                <w:sz w:val="20"/>
              </w:rPr>
            </w:pPr>
            <w:r w:rsidRPr="00A034DA">
              <w:rPr>
                <w:rFonts w:ascii="Arial" w:hAnsi="Arial" w:cs="Arial"/>
                <w:sz w:val="20"/>
              </w:rPr>
              <w:t>Replace the fact table and the patient and visit dimension tables with views that have the same name, but point to the actual tables containing the data in a separate database CQ2_Data.</w:t>
            </w:r>
          </w:p>
        </w:tc>
        <w:tc>
          <w:tcPr>
            <w:tcW w:w="5035" w:type="dxa"/>
            <w:shd w:val="clear" w:color="auto" w:fill="F2F2F2" w:themeFill="background1" w:themeFillShade="F2"/>
          </w:tcPr>
          <w:p w:rsidR="00186B18" w:rsidRPr="00A034DA" w:rsidRDefault="00186B18" w:rsidP="00186B18">
            <w:pPr>
              <w:rPr>
                <w:rFonts w:ascii="Arial" w:hAnsi="Arial" w:cs="Arial"/>
                <w:sz w:val="20"/>
              </w:rPr>
            </w:pPr>
            <w:r w:rsidRPr="00A034DA">
              <w:rPr>
                <w:rFonts w:ascii="Arial" w:hAnsi="Arial" w:cs="Arial"/>
                <w:sz w:val="20"/>
              </w:rPr>
              <w:t>Place the following three tables in this database:</w:t>
            </w:r>
          </w:p>
          <w:p w:rsidR="00186B18" w:rsidRPr="00A034DA" w:rsidRDefault="00186B18" w:rsidP="00186B18">
            <w:pPr>
              <w:pStyle w:val="ListParagraph"/>
              <w:numPr>
                <w:ilvl w:val="0"/>
                <w:numId w:val="9"/>
              </w:numPr>
              <w:rPr>
                <w:rFonts w:ascii="Arial" w:hAnsi="Arial" w:cs="Arial"/>
                <w:sz w:val="20"/>
              </w:rPr>
            </w:pPr>
            <w:r w:rsidRPr="00A034DA">
              <w:rPr>
                <w:rFonts w:ascii="Arial" w:hAnsi="Arial" w:cs="Arial"/>
                <w:sz w:val="20"/>
              </w:rPr>
              <w:t>CRC.PATIENT_DIMENSION</w:t>
            </w:r>
          </w:p>
          <w:p w:rsidR="00186B18" w:rsidRPr="00A034DA" w:rsidRDefault="00186B18" w:rsidP="00186B18">
            <w:pPr>
              <w:pStyle w:val="ListParagraph"/>
              <w:numPr>
                <w:ilvl w:val="0"/>
                <w:numId w:val="9"/>
              </w:numPr>
              <w:rPr>
                <w:rFonts w:ascii="Arial" w:hAnsi="Arial" w:cs="Arial"/>
                <w:sz w:val="20"/>
              </w:rPr>
            </w:pPr>
            <w:r w:rsidRPr="00A034DA">
              <w:rPr>
                <w:rFonts w:ascii="Arial" w:hAnsi="Arial" w:cs="Arial"/>
                <w:sz w:val="20"/>
              </w:rPr>
              <w:t>CRC.VISIT_DIMENSION</w:t>
            </w:r>
          </w:p>
          <w:p w:rsidR="00186B18" w:rsidRPr="00E32FB3" w:rsidRDefault="00186B18" w:rsidP="00186B18">
            <w:pPr>
              <w:pStyle w:val="ListParagraph"/>
              <w:numPr>
                <w:ilvl w:val="0"/>
                <w:numId w:val="9"/>
              </w:numPr>
              <w:rPr>
                <w:rFonts w:ascii="Arial" w:hAnsi="Arial" w:cs="Arial"/>
                <w:sz w:val="20"/>
              </w:rPr>
            </w:pPr>
            <w:r w:rsidRPr="00A034DA">
              <w:rPr>
                <w:rFonts w:ascii="Arial" w:hAnsi="Arial" w:cs="Arial"/>
                <w:sz w:val="20"/>
              </w:rPr>
              <w:t>CRC.OBSERVATION_FACT</w:t>
            </w:r>
          </w:p>
        </w:tc>
      </w:tr>
      <w:tr w:rsidR="00186B18" w:rsidTr="004476E5">
        <w:tc>
          <w:tcPr>
            <w:tcW w:w="5035" w:type="dxa"/>
            <w:shd w:val="clear" w:color="auto" w:fill="F2F2F2" w:themeFill="background1" w:themeFillShade="F2"/>
          </w:tcPr>
          <w:p w:rsidR="00186B18" w:rsidRPr="00A034DA" w:rsidRDefault="00186B18" w:rsidP="00186B18">
            <w:pPr>
              <w:rPr>
                <w:rFonts w:ascii="Arial" w:hAnsi="Arial" w:cs="Arial"/>
                <w:sz w:val="20"/>
              </w:rPr>
            </w:pPr>
            <w:r w:rsidRPr="00A034DA">
              <w:rPr>
                <w:rFonts w:ascii="Arial" w:hAnsi="Arial" w:cs="Arial"/>
                <w:sz w:val="20"/>
              </w:rPr>
              <w:t>Replace the CRC.CQ2_* tables with views with the same names that point to the corresponding tables in CQ2_Data.</w:t>
            </w:r>
          </w:p>
        </w:tc>
        <w:tc>
          <w:tcPr>
            <w:tcW w:w="5035" w:type="dxa"/>
            <w:shd w:val="clear" w:color="auto" w:fill="F2F2F2" w:themeFill="background1" w:themeFillShade="F2"/>
          </w:tcPr>
          <w:p w:rsidR="00186B18" w:rsidRPr="00A034DA" w:rsidRDefault="00186B18" w:rsidP="00186B18">
            <w:pPr>
              <w:rPr>
                <w:rFonts w:ascii="Arial" w:hAnsi="Arial" w:cs="Arial"/>
                <w:sz w:val="20"/>
              </w:rPr>
            </w:pPr>
            <w:r w:rsidRPr="00A034DA">
              <w:rPr>
                <w:rFonts w:ascii="Arial" w:hAnsi="Arial" w:cs="Arial"/>
                <w:sz w:val="20"/>
              </w:rPr>
              <w:t>Place all derived CRC.CQ2_* tables in this database.</w:t>
            </w:r>
          </w:p>
        </w:tc>
      </w:tr>
      <w:tr w:rsidR="00186B18" w:rsidTr="008C4700">
        <w:tc>
          <w:tcPr>
            <w:tcW w:w="5035" w:type="dxa"/>
            <w:tcBorders>
              <w:bottom w:val="single" w:sz="4" w:space="0" w:color="auto"/>
            </w:tcBorders>
            <w:shd w:val="clear" w:color="auto" w:fill="F2F2F2" w:themeFill="background1" w:themeFillShade="F2"/>
          </w:tcPr>
          <w:p w:rsidR="00186B18" w:rsidRPr="00A034DA" w:rsidRDefault="00186B18" w:rsidP="00186B18">
            <w:pPr>
              <w:rPr>
                <w:rFonts w:ascii="Arial" w:hAnsi="Arial" w:cs="Arial"/>
                <w:sz w:val="20"/>
              </w:rPr>
            </w:pPr>
          </w:p>
        </w:tc>
        <w:tc>
          <w:tcPr>
            <w:tcW w:w="5035" w:type="dxa"/>
            <w:tcBorders>
              <w:bottom w:val="single" w:sz="4" w:space="0" w:color="auto"/>
            </w:tcBorders>
            <w:shd w:val="clear" w:color="auto" w:fill="F2F2F2" w:themeFill="background1" w:themeFillShade="F2"/>
          </w:tcPr>
          <w:p w:rsidR="00186B18" w:rsidRPr="00A034DA" w:rsidRDefault="00186B18" w:rsidP="00186B18">
            <w:pPr>
              <w:rPr>
                <w:rFonts w:ascii="Arial" w:hAnsi="Arial" w:cs="Arial"/>
                <w:sz w:val="20"/>
              </w:rPr>
            </w:pPr>
            <w:r w:rsidRPr="00A034DA">
              <w:rPr>
                <w:rFonts w:ascii="Arial" w:hAnsi="Arial" w:cs="Arial"/>
                <w:sz w:val="20"/>
              </w:rPr>
              <w:t>Place these two views in this database, pointing back to the CQ2 database:</w:t>
            </w:r>
          </w:p>
          <w:p w:rsidR="00186B18" w:rsidRPr="00A034DA" w:rsidRDefault="00186B18" w:rsidP="00186B18">
            <w:pPr>
              <w:pStyle w:val="ListParagraph"/>
              <w:numPr>
                <w:ilvl w:val="0"/>
                <w:numId w:val="10"/>
              </w:numPr>
              <w:rPr>
                <w:rFonts w:ascii="Arial" w:hAnsi="Arial" w:cs="Arial"/>
                <w:sz w:val="20"/>
              </w:rPr>
            </w:pPr>
            <w:r w:rsidRPr="00A034DA">
              <w:rPr>
                <w:rFonts w:ascii="Arial" w:hAnsi="Arial" w:cs="Arial"/>
                <w:sz w:val="20"/>
              </w:rPr>
              <w:t>CRC.vwCQ2_Ontology</w:t>
            </w:r>
          </w:p>
          <w:p w:rsidR="00186B18" w:rsidRPr="00A034DA" w:rsidRDefault="00186B18" w:rsidP="00186B18">
            <w:pPr>
              <w:pStyle w:val="ListParagraph"/>
              <w:numPr>
                <w:ilvl w:val="0"/>
                <w:numId w:val="10"/>
              </w:numPr>
              <w:rPr>
                <w:rFonts w:ascii="Arial" w:hAnsi="Arial" w:cs="Arial"/>
                <w:sz w:val="20"/>
              </w:rPr>
            </w:pPr>
            <w:r w:rsidRPr="00A034DA">
              <w:rPr>
                <w:rFonts w:ascii="Arial" w:hAnsi="Arial" w:cs="Arial"/>
                <w:sz w:val="20"/>
              </w:rPr>
              <w:t>CRC.vwCQ2_ConceptDimension</w:t>
            </w:r>
          </w:p>
        </w:tc>
      </w:tr>
      <w:tr w:rsidR="00186B18" w:rsidTr="008C4700">
        <w:tc>
          <w:tcPr>
            <w:tcW w:w="503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86B18" w:rsidRPr="00A034DA" w:rsidRDefault="00186B18" w:rsidP="00186B18">
            <w:pPr>
              <w:rPr>
                <w:rFonts w:ascii="Arial" w:hAnsi="Arial" w:cs="Arial"/>
                <w:sz w:val="20"/>
              </w:rPr>
            </w:pPr>
          </w:p>
        </w:tc>
        <w:tc>
          <w:tcPr>
            <w:tcW w:w="503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86B18" w:rsidRPr="00A034DA" w:rsidRDefault="00186B18" w:rsidP="00186B18">
            <w:pPr>
              <w:rPr>
                <w:rFonts w:ascii="Arial" w:hAnsi="Arial" w:cs="Arial"/>
                <w:sz w:val="20"/>
              </w:rPr>
            </w:pPr>
            <w:r w:rsidRPr="00A034DA">
              <w:rPr>
                <w:rFonts w:ascii="Arial" w:hAnsi="Arial" w:cs="Arial"/>
                <w:sz w:val="20"/>
              </w:rPr>
              <w:t xml:space="preserve">Place the stored procedures </w:t>
            </w:r>
            <w:proofErr w:type="spellStart"/>
            <w:r w:rsidRPr="00A034DA">
              <w:rPr>
                <w:rFonts w:ascii="Arial" w:hAnsi="Arial" w:cs="Arial"/>
                <w:sz w:val="20"/>
              </w:rPr>
              <w:t>CRC.uspUpdateStep</w:t>
            </w:r>
            <w:proofErr w:type="spellEnd"/>
            <w:r w:rsidRPr="00A034DA">
              <w:rPr>
                <w:rFonts w:ascii="Arial" w:hAnsi="Arial" w:cs="Arial"/>
                <w:sz w:val="20"/>
              </w:rPr>
              <w:t>* in this database and execute them from here.</w:t>
            </w:r>
          </w:p>
        </w:tc>
      </w:tr>
    </w:tbl>
    <w:p w:rsidR="00186B18" w:rsidRDefault="00186B18" w:rsidP="00186B18">
      <w:pPr>
        <w:spacing w:after="0" w:line="240" w:lineRule="auto"/>
        <w:rPr>
          <w:rFonts w:ascii="Arial" w:hAnsi="Arial" w:cs="Arial"/>
        </w:rPr>
      </w:pPr>
    </w:p>
    <w:p w:rsidR="00186B18" w:rsidRDefault="00186B18" w:rsidP="00186B18">
      <w:pPr>
        <w:spacing w:after="0" w:line="240" w:lineRule="auto"/>
        <w:jc w:val="both"/>
        <w:rPr>
          <w:rFonts w:ascii="Arial" w:hAnsi="Arial" w:cs="Arial"/>
        </w:rPr>
      </w:pPr>
      <w:r>
        <w:rPr>
          <w:rFonts w:ascii="Arial" w:hAnsi="Arial" w:cs="Arial"/>
        </w:rPr>
        <w:t xml:space="preserve">A three database configuration additionally places patient and encounter sets in a separate database. This prevents a user running many large queries from “blowing up” the </w:t>
      </w:r>
      <w:r w:rsidRPr="00A034DA">
        <w:rPr>
          <w:rFonts w:ascii="Arial" w:hAnsi="Arial" w:cs="Arial"/>
        </w:rPr>
        <w:t xml:space="preserve">CQ2 database with all the storage needed to save those sets. The procedure </w:t>
      </w:r>
      <w:proofErr w:type="spellStart"/>
      <w:r w:rsidRPr="00A034DA">
        <w:rPr>
          <w:rFonts w:ascii="Arial" w:hAnsi="Arial" w:cs="Arial"/>
        </w:rPr>
        <w:t>CRC.uspRunQueryInstance</w:t>
      </w:r>
      <w:proofErr w:type="spellEnd"/>
      <w:r>
        <w:rPr>
          <w:rFonts w:ascii="Arial" w:hAnsi="Arial" w:cs="Arial"/>
        </w:rPr>
        <w:t xml:space="preserve"> must be modified so that patient and encounter sets are written to the CQ2_Sets database. Example code for this is commented out in the procedure. The example code also illustrates limiting the total set site.</w:t>
      </w:r>
    </w:p>
    <w:p w:rsidR="004476E5" w:rsidRDefault="004476E5" w:rsidP="00186B18">
      <w:pPr>
        <w:spacing w:after="0" w:line="240" w:lineRule="auto"/>
        <w:jc w:val="both"/>
        <w:rPr>
          <w:rFonts w:ascii="Arial" w:hAnsi="Arial" w:cs="Arial"/>
        </w:rPr>
      </w:pPr>
    </w:p>
    <w:tbl>
      <w:tblPr>
        <w:tblStyle w:val="TableGrid"/>
        <w:tblW w:w="10105" w:type="dxa"/>
        <w:tblLook w:val="04A0" w:firstRow="1" w:lastRow="0" w:firstColumn="1" w:lastColumn="0" w:noHBand="0" w:noVBand="1"/>
      </w:tblPr>
      <w:tblGrid>
        <w:gridCol w:w="3505"/>
        <w:gridCol w:w="1654"/>
        <w:gridCol w:w="4946"/>
      </w:tblGrid>
      <w:tr w:rsidR="00186B18" w:rsidTr="004476E5">
        <w:tc>
          <w:tcPr>
            <w:tcW w:w="3505" w:type="dxa"/>
            <w:shd w:val="clear" w:color="auto" w:fill="BDD6EE" w:themeFill="accent1" w:themeFillTint="66"/>
          </w:tcPr>
          <w:p w:rsidR="00186B18" w:rsidRPr="00A034DA" w:rsidRDefault="00186B18" w:rsidP="00186B18">
            <w:pPr>
              <w:rPr>
                <w:rFonts w:ascii="Arial" w:hAnsi="Arial" w:cs="Arial"/>
                <w:b/>
                <w:sz w:val="20"/>
              </w:rPr>
            </w:pPr>
            <w:r w:rsidRPr="00A034DA">
              <w:rPr>
                <w:rFonts w:ascii="Arial" w:hAnsi="Arial" w:cs="Arial"/>
                <w:b/>
                <w:sz w:val="20"/>
              </w:rPr>
              <w:t>CQ2</w:t>
            </w:r>
          </w:p>
        </w:tc>
        <w:tc>
          <w:tcPr>
            <w:tcW w:w="1654" w:type="dxa"/>
            <w:shd w:val="clear" w:color="auto" w:fill="BDD6EE" w:themeFill="accent1" w:themeFillTint="66"/>
          </w:tcPr>
          <w:p w:rsidR="00186B18" w:rsidRPr="00A034DA" w:rsidRDefault="00186B18" w:rsidP="00186B18">
            <w:pPr>
              <w:rPr>
                <w:rFonts w:ascii="Arial" w:hAnsi="Arial" w:cs="Arial"/>
                <w:b/>
                <w:sz w:val="20"/>
              </w:rPr>
            </w:pPr>
            <w:r w:rsidRPr="00A034DA">
              <w:rPr>
                <w:rFonts w:ascii="Arial" w:hAnsi="Arial" w:cs="Arial"/>
                <w:b/>
                <w:sz w:val="20"/>
              </w:rPr>
              <w:t>CQ2_Data</w:t>
            </w:r>
          </w:p>
        </w:tc>
        <w:tc>
          <w:tcPr>
            <w:tcW w:w="4946" w:type="dxa"/>
            <w:shd w:val="clear" w:color="auto" w:fill="BDD6EE" w:themeFill="accent1" w:themeFillTint="66"/>
          </w:tcPr>
          <w:p w:rsidR="00186B18" w:rsidRPr="00A034DA" w:rsidRDefault="00186B18" w:rsidP="00186B18">
            <w:pPr>
              <w:rPr>
                <w:rFonts w:ascii="Arial" w:hAnsi="Arial" w:cs="Arial"/>
                <w:b/>
                <w:sz w:val="20"/>
              </w:rPr>
            </w:pPr>
            <w:r w:rsidRPr="00A034DA">
              <w:rPr>
                <w:rFonts w:ascii="Arial" w:hAnsi="Arial" w:cs="Arial"/>
                <w:b/>
                <w:sz w:val="20"/>
              </w:rPr>
              <w:t>CQ2_Sets</w:t>
            </w:r>
          </w:p>
        </w:tc>
      </w:tr>
      <w:tr w:rsidR="00186B18" w:rsidTr="004476E5">
        <w:tc>
          <w:tcPr>
            <w:tcW w:w="3505" w:type="dxa"/>
            <w:shd w:val="clear" w:color="auto" w:fill="F2F2F2" w:themeFill="background1" w:themeFillShade="F2"/>
          </w:tcPr>
          <w:p w:rsidR="00186B18" w:rsidRPr="00A034DA" w:rsidRDefault="00186B18" w:rsidP="00186B18">
            <w:pPr>
              <w:rPr>
                <w:rFonts w:ascii="Arial" w:hAnsi="Arial" w:cs="Arial"/>
                <w:sz w:val="20"/>
              </w:rPr>
            </w:pPr>
            <w:r w:rsidRPr="00A034DA">
              <w:rPr>
                <w:rFonts w:ascii="Arial" w:hAnsi="Arial" w:cs="Arial"/>
                <w:sz w:val="20"/>
              </w:rPr>
              <w:t xml:space="preserve">Create views for the PATIENT_SET and PATIENT_ENC collection tables. Modify the procedure </w:t>
            </w:r>
            <w:proofErr w:type="spellStart"/>
            <w:r w:rsidRPr="00A034DA">
              <w:rPr>
                <w:rFonts w:ascii="Arial" w:hAnsi="Arial" w:cs="Arial"/>
                <w:sz w:val="20"/>
              </w:rPr>
              <w:t>CRC.uspRunQueryInstance</w:t>
            </w:r>
            <w:proofErr w:type="spellEnd"/>
            <w:r w:rsidRPr="00A034DA">
              <w:rPr>
                <w:rFonts w:ascii="Arial" w:hAnsi="Arial" w:cs="Arial"/>
                <w:sz w:val="20"/>
              </w:rPr>
              <w:t xml:space="preserve"> to write to the tables in CQ2_Sets.</w:t>
            </w:r>
          </w:p>
        </w:tc>
        <w:tc>
          <w:tcPr>
            <w:tcW w:w="1654" w:type="dxa"/>
            <w:shd w:val="clear" w:color="auto" w:fill="F2F2F2" w:themeFill="background1" w:themeFillShade="F2"/>
          </w:tcPr>
          <w:p w:rsidR="00186B18" w:rsidRPr="00A034DA" w:rsidRDefault="00186B18" w:rsidP="00186B18">
            <w:pPr>
              <w:rPr>
                <w:rFonts w:ascii="Arial" w:hAnsi="Arial" w:cs="Arial"/>
                <w:sz w:val="20"/>
              </w:rPr>
            </w:pPr>
          </w:p>
        </w:tc>
        <w:tc>
          <w:tcPr>
            <w:tcW w:w="4946" w:type="dxa"/>
            <w:shd w:val="clear" w:color="auto" w:fill="F2F2F2" w:themeFill="background1" w:themeFillShade="F2"/>
          </w:tcPr>
          <w:p w:rsidR="00186B18" w:rsidRPr="00A034DA" w:rsidRDefault="00186B18" w:rsidP="00186B18">
            <w:pPr>
              <w:rPr>
                <w:rFonts w:ascii="Arial" w:hAnsi="Arial" w:cs="Arial"/>
                <w:sz w:val="20"/>
              </w:rPr>
            </w:pPr>
            <w:r w:rsidRPr="00A034DA">
              <w:rPr>
                <w:rFonts w:ascii="Arial" w:hAnsi="Arial" w:cs="Arial"/>
                <w:sz w:val="20"/>
              </w:rPr>
              <w:t>Place the following two tables in this database:</w:t>
            </w:r>
          </w:p>
          <w:p w:rsidR="00186B18" w:rsidRPr="00A034DA" w:rsidRDefault="00186B18" w:rsidP="00186B18">
            <w:pPr>
              <w:pStyle w:val="ListParagraph"/>
              <w:numPr>
                <w:ilvl w:val="0"/>
                <w:numId w:val="11"/>
              </w:numPr>
              <w:rPr>
                <w:rFonts w:ascii="Arial" w:hAnsi="Arial" w:cs="Arial"/>
                <w:sz w:val="20"/>
              </w:rPr>
            </w:pPr>
            <w:r w:rsidRPr="00A034DA">
              <w:rPr>
                <w:rFonts w:ascii="Arial" w:hAnsi="Arial" w:cs="Arial"/>
                <w:sz w:val="20"/>
              </w:rPr>
              <w:t>CRC.QT_PATIENT_SET_COLLECTION</w:t>
            </w:r>
          </w:p>
          <w:p w:rsidR="00186B18" w:rsidRPr="00A034DA" w:rsidRDefault="00186B18" w:rsidP="00186B18">
            <w:pPr>
              <w:pStyle w:val="ListParagraph"/>
              <w:numPr>
                <w:ilvl w:val="0"/>
                <w:numId w:val="11"/>
              </w:numPr>
              <w:rPr>
                <w:rFonts w:ascii="Arial" w:hAnsi="Arial" w:cs="Arial"/>
                <w:sz w:val="20"/>
              </w:rPr>
            </w:pPr>
            <w:r w:rsidRPr="00A034DA">
              <w:rPr>
                <w:rFonts w:ascii="Arial" w:hAnsi="Arial" w:cs="Arial"/>
                <w:sz w:val="20"/>
              </w:rPr>
              <w:t>CRC.QT_PATIENT_ENC_COLLECTION</w:t>
            </w:r>
          </w:p>
        </w:tc>
      </w:tr>
      <w:tr w:rsidR="00186B18" w:rsidTr="004476E5">
        <w:tc>
          <w:tcPr>
            <w:tcW w:w="3505" w:type="dxa"/>
            <w:shd w:val="clear" w:color="auto" w:fill="F2F2F2" w:themeFill="background1" w:themeFillShade="F2"/>
          </w:tcPr>
          <w:p w:rsidR="00186B18" w:rsidRPr="00A034DA" w:rsidRDefault="00186B18" w:rsidP="00186B18">
            <w:pPr>
              <w:rPr>
                <w:rFonts w:ascii="Arial" w:hAnsi="Arial" w:cs="Arial"/>
                <w:sz w:val="20"/>
              </w:rPr>
            </w:pPr>
            <w:r w:rsidRPr="00A034DA">
              <w:rPr>
                <w:rFonts w:ascii="Arial" w:hAnsi="Arial" w:cs="Arial"/>
                <w:sz w:val="20"/>
              </w:rPr>
              <w:t>Views that point to the data and CQ2 tables in CQ2_Data</w:t>
            </w:r>
          </w:p>
        </w:tc>
        <w:tc>
          <w:tcPr>
            <w:tcW w:w="1654" w:type="dxa"/>
            <w:shd w:val="clear" w:color="auto" w:fill="F2F2F2" w:themeFill="background1" w:themeFillShade="F2"/>
          </w:tcPr>
          <w:p w:rsidR="00186B18" w:rsidRPr="00A034DA" w:rsidRDefault="00186B18" w:rsidP="00186B18">
            <w:pPr>
              <w:rPr>
                <w:rFonts w:ascii="Arial" w:hAnsi="Arial" w:cs="Arial"/>
                <w:sz w:val="20"/>
              </w:rPr>
            </w:pPr>
            <w:r w:rsidRPr="00A034DA">
              <w:rPr>
                <w:rFonts w:ascii="Arial" w:hAnsi="Arial" w:cs="Arial"/>
                <w:sz w:val="20"/>
              </w:rPr>
              <w:t>Data and CQ2 derived tables</w:t>
            </w:r>
          </w:p>
        </w:tc>
        <w:tc>
          <w:tcPr>
            <w:tcW w:w="4946" w:type="dxa"/>
            <w:shd w:val="clear" w:color="auto" w:fill="F2F2F2" w:themeFill="background1" w:themeFillShade="F2"/>
          </w:tcPr>
          <w:p w:rsidR="00186B18" w:rsidRPr="00A034DA" w:rsidRDefault="00186B18" w:rsidP="00186B18">
            <w:pPr>
              <w:rPr>
                <w:rFonts w:ascii="Arial" w:hAnsi="Arial" w:cs="Arial"/>
                <w:sz w:val="20"/>
              </w:rPr>
            </w:pPr>
          </w:p>
        </w:tc>
      </w:tr>
    </w:tbl>
    <w:p w:rsidR="00186B18" w:rsidRDefault="00186B18" w:rsidP="00186B18">
      <w:pPr>
        <w:spacing w:after="0" w:line="240" w:lineRule="auto"/>
        <w:jc w:val="both"/>
        <w:rPr>
          <w:rFonts w:ascii="Arial" w:hAnsi="Arial" w:cs="Arial"/>
        </w:rPr>
      </w:pPr>
    </w:p>
    <w:p w:rsidR="00186B18" w:rsidRDefault="00186B18" w:rsidP="00186B18">
      <w:pPr>
        <w:spacing w:after="0" w:line="240" w:lineRule="auto"/>
        <w:jc w:val="both"/>
        <w:rPr>
          <w:rFonts w:ascii="Arial" w:hAnsi="Arial" w:cs="Arial"/>
        </w:rPr>
      </w:pPr>
      <w:r>
        <w:rPr>
          <w:rFonts w:ascii="Arial" w:hAnsi="Arial" w:cs="Arial"/>
        </w:rPr>
        <w:t>A four database configuration can split the CQ2_Data database into one database with the fact and dimension tables and a second database with the derived tables. The former can be your existing i2b2 CRC database, if you have previously installed i2b2.</w:t>
      </w:r>
    </w:p>
    <w:p w:rsidR="00186B18" w:rsidRDefault="00186B18" w:rsidP="00186B18">
      <w:pPr>
        <w:spacing w:after="0" w:line="240" w:lineRule="auto"/>
        <w:jc w:val="both"/>
        <w:rPr>
          <w:rFonts w:ascii="Arial" w:hAnsi="Arial" w:cs="Arial"/>
        </w:rPr>
      </w:pPr>
    </w:p>
    <w:p w:rsidR="00186B18" w:rsidRDefault="00186B18" w:rsidP="00186B18">
      <w:pPr>
        <w:spacing w:after="0" w:line="240" w:lineRule="auto"/>
        <w:jc w:val="both"/>
        <w:rPr>
          <w:rFonts w:ascii="Arial" w:hAnsi="Arial" w:cs="Arial"/>
        </w:rPr>
      </w:pPr>
      <w:r>
        <w:rPr>
          <w:rFonts w:ascii="Arial" w:hAnsi="Arial" w:cs="Arial"/>
        </w:rPr>
        <w:t xml:space="preserve">Many factors might go into your decision on how to setup CQ2. As a general rule of thumb, we recommend a single database if you have less than 1 million patients and 1 billion facts, and multiple databases if you have more than 10 million patients or more than 1 billion facts. </w:t>
      </w:r>
    </w:p>
    <w:p w:rsidR="00186B18" w:rsidRDefault="00186B18" w:rsidP="00186B18">
      <w:pPr>
        <w:spacing w:after="0" w:line="240" w:lineRule="auto"/>
        <w:jc w:val="both"/>
        <w:rPr>
          <w:rFonts w:ascii="Arial" w:hAnsi="Arial" w:cs="Arial"/>
        </w:rPr>
      </w:pPr>
    </w:p>
    <w:p w:rsidR="00186B18" w:rsidRDefault="00186B18" w:rsidP="00186B18">
      <w:pPr>
        <w:pStyle w:val="Heading2"/>
        <w:jc w:val="both"/>
      </w:pPr>
      <w:bookmarkStart w:id="9" w:name="_Toc34172836"/>
      <w:r>
        <w:lastRenderedPageBreak/>
        <w:t>Custom Query Breakdowns</w:t>
      </w:r>
      <w:bookmarkEnd w:id="9"/>
    </w:p>
    <w:p w:rsidR="00186B18" w:rsidRDefault="00186B18" w:rsidP="00186B18">
      <w:pPr>
        <w:spacing w:after="0" w:line="240" w:lineRule="auto"/>
        <w:jc w:val="both"/>
        <w:rPr>
          <w:rFonts w:ascii="Arial" w:hAnsi="Arial" w:cs="Arial"/>
        </w:rPr>
      </w:pPr>
    </w:p>
    <w:p w:rsidR="00186B18" w:rsidRDefault="00186B18" w:rsidP="00186B18">
      <w:pPr>
        <w:spacing w:after="0" w:line="240" w:lineRule="auto"/>
        <w:jc w:val="both"/>
        <w:rPr>
          <w:rFonts w:ascii="Arial" w:hAnsi="Arial" w:cs="Arial"/>
        </w:rPr>
      </w:pPr>
      <w:r>
        <w:rPr>
          <w:rFonts w:ascii="Arial" w:hAnsi="Arial" w:cs="Arial"/>
        </w:rPr>
        <w:t xml:space="preserve">CQ2 uses the CRC.QT_BREAKDOWN_PATH table to define how different types of query breakdowns should be performed. However, you can also hard-code the SQL for breakdowns in the procedure </w:t>
      </w:r>
      <w:proofErr w:type="spellStart"/>
      <w:r>
        <w:rPr>
          <w:rFonts w:ascii="Arial" w:hAnsi="Arial" w:cs="Arial"/>
        </w:rPr>
        <w:t>CRC.uspRunQueryInstanceBreakdown</w:t>
      </w:r>
      <w:proofErr w:type="spellEnd"/>
      <w:r>
        <w:rPr>
          <w:rFonts w:ascii="Arial" w:hAnsi="Arial" w:cs="Arial"/>
        </w:rPr>
        <w:t>. There is example code in that procedure showing how to do this. The advantage is that you can run breakdowns that are not based on the ontology and/or optimize the breakdown queries for performance.</w:t>
      </w:r>
    </w:p>
    <w:p w:rsidR="00186B18" w:rsidRDefault="00186B18" w:rsidP="00186B18">
      <w:pPr>
        <w:spacing w:after="0" w:line="240" w:lineRule="auto"/>
        <w:jc w:val="both"/>
        <w:rPr>
          <w:rFonts w:ascii="Arial" w:hAnsi="Arial" w:cs="Arial"/>
        </w:rPr>
      </w:pPr>
    </w:p>
    <w:p w:rsidR="00186B18" w:rsidRDefault="00186B18" w:rsidP="00186B18">
      <w:pPr>
        <w:pStyle w:val="Heading2"/>
        <w:jc w:val="both"/>
      </w:pPr>
      <w:bookmarkStart w:id="10" w:name="_Toc34172837"/>
      <w:r>
        <w:t>Custom User Authentication and Registration</w:t>
      </w:r>
      <w:bookmarkEnd w:id="10"/>
    </w:p>
    <w:p w:rsidR="00186B18" w:rsidRDefault="00186B18" w:rsidP="00186B18">
      <w:pPr>
        <w:spacing w:after="0" w:line="240" w:lineRule="auto"/>
        <w:jc w:val="both"/>
        <w:rPr>
          <w:rFonts w:ascii="Arial" w:hAnsi="Arial" w:cs="Arial"/>
        </w:rPr>
      </w:pPr>
    </w:p>
    <w:p w:rsidR="00186B18" w:rsidRDefault="00186B18" w:rsidP="00186B18">
      <w:pPr>
        <w:spacing w:after="0" w:line="240" w:lineRule="auto"/>
        <w:jc w:val="both"/>
        <w:rPr>
          <w:rFonts w:ascii="Arial" w:hAnsi="Arial" w:cs="Arial"/>
        </w:rPr>
      </w:pPr>
      <w:r>
        <w:rPr>
          <w:rFonts w:ascii="Arial" w:hAnsi="Arial" w:cs="Arial"/>
        </w:rPr>
        <w:t xml:space="preserve">By default, CQ2 authenticates users by checking their USER_ID and encrypted PASSWORD in the PM.PM_USER_DATA table. You can alternatively write your own custom authentication code (e.g., using Active Directory) by editing the service proxy file. There is a comment in the code in that file showing where to do this. Also, to use custom authentication, create a record for the user in the PM.PM_USER_DATA table, but leave the password blank (the empty string ''). To help with this, after you authenticate a user, pass the </w:t>
      </w:r>
      <w:proofErr w:type="spellStart"/>
      <w:r>
        <w:rPr>
          <w:rFonts w:ascii="Arial" w:hAnsi="Arial" w:cs="Arial"/>
        </w:rPr>
        <w:t>user_id</w:t>
      </w:r>
      <w:proofErr w:type="spellEnd"/>
      <w:r>
        <w:rPr>
          <w:rFonts w:ascii="Arial" w:hAnsi="Arial" w:cs="Arial"/>
        </w:rPr>
        <w:t xml:space="preserve"> to the procedure </w:t>
      </w:r>
      <w:proofErr w:type="spellStart"/>
      <w:r>
        <w:rPr>
          <w:rFonts w:ascii="Arial" w:hAnsi="Arial" w:cs="Arial"/>
        </w:rPr>
        <w:t>PM.uspRegister</w:t>
      </w:r>
      <w:proofErr w:type="spellEnd"/>
      <w:r>
        <w:rPr>
          <w:rFonts w:ascii="Arial" w:hAnsi="Arial" w:cs="Arial"/>
        </w:rPr>
        <w:t>. This will check if the user already has an account. If not, it will create the account and add the user to project. Modify this procedure as needed.</w:t>
      </w:r>
    </w:p>
    <w:p w:rsidR="00186B18" w:rsidRDefault="00186B18" w:rsidP="00186B18">
      <w:pPr>
        <w:spacing w:after="0" w:line="240" w:lineRule="auto"/>
        <w:jc w:val="both"/>
        <w:rPr>
          <w:rFonts w:ascii="Arial" w:hAnsi="Arial" w:cs="Arial"/>
        </w:rPr>
      </w:pPr>
    </w:p>
    <w:p w:rsidR="005F4A9D" w:rsidRDefault="005F4A9D">
      <w:pPr>
        <w:rPr>
          <w:rFonts w:ascii="Arial" w:hAnsi="Arial" w:cs="Arial"/>
        </w:rPr>
      </w:pPr>
      <w:r>
        <w:rPr>
          <w:rFonts w:ascii="Arial" w:hAnsi="Arial" w:cs="Arial"/>
        </w:rPr>
        <w:br w:type="page"/>
      </w:r>
    </w:p>
    <w:p w:rsidR="005F4A9D" w:rsidRDefault="005F4A9D" w:rsidP="005F4A9D">
      <w:pPr>
        <w:pStyle w:val="Heading1"/>
      </w:pPr>
      <w:bookmarkStart w:id="11" w:name="_Toc34172838"/>
      <w:r>
        <w:lastRenderedPageBreak/>
        <w:t>Using Sketches in Queries</w:t>
      </w:r>
      <w:bookmarkEnd w:id="11"/>
    </w:p>
    <w:p w:rsidR="005F4A9D" w:rsidRDefault="005F4A9D" w:rsidP="005F4A9D">
      <w:pPr>
        <w:spacing w:after="0" w:line="240" w:lineRule="auto"/>
        <w:rPr>
          <w:rFonts w:ascii="Arial" w:hAnsi="Arial" w:cs="Arial"/>
        </w:rPr>
      </w:pPr>
    </w:p>
    <w:p w:rsidR="00F761A1" w:rsidRDefault="005F4A9D" w:rsidP="00F761A1">
      <w:pPr>
        <w:spacing w:after="0" w:line="240" w:lineRule="auto"/>
        <w:jc w:val="both"/>
        <w:rPr>
          <w:rFonts w:ascii="Arial" w:hAnsi="Arial" w:cs="Arial"/>
        </w:rPr>
      </w:pPr>
      <w:r>
        <w:rPr>
          <w:rFonts w:ascii="Arial" w:hAnsi="Arial" w:cs="Arial"/>
        </w:rPr>
        <w:t xml:space="preserve">CQ2 uses “probabilistic sketches” to improve the performance of query, sometimes thousands of times faster than i2b2 for very large databases. The tradeoff is that the query result is an estimate, rather than the exact result. Though, typically </w:t>
      </w:r>
      <w:r w:rsidR="00863CA0">
        <w:rPr>
          <w:rFonts w:ascii="Arial" w:hAnsi="Arial" w:cs="Arial"/>
        </w:rPr>
        <w:t xml:space="preserve">the error is small. </w:t>
      </w:r>
      <w:r>
        <w:rPr>
          <w:rFonts w:ascii="Arial" w:hAnsi="Arial" w:cs="Arial"/>
        </w:rPr>
        <w:t xml:space="preserve">The benefits of sketches only start with about 100,000 patients and might not be noticeable even with 1 million patients if you have a fast database server. For very large databases, with 10+ million patients or 1+ billion facts, </w:t>
      </w:r>
      <w:r w:rsidR="00863CA0">
        <w:rPr>
          <w:rFonts w:ascii="Arial" w:hAnsi="Arial" w:cs="Arial"/>
        </w:rPr>
        <w:t>it might not be possible to run exact queries in a reasonable amount of time, and sketches are the only practical option.</w:t>
      </w:r>
    </w:p>
    <w:p w:rsidR="00F761A1" w:rsidRDefault="00F761A1" w:rsidP="00F761A1">
      <w:pPr>
        <w:spacing w:after="0" w:line="240" w:lineRule="auto"/>
        <w:jc w:val="both"/>
        <w:rPr>
          <w:rFonts w:ascii="Arial" w:hAnsi="Arial" w:cs="Arial"/>
        </w:rPr>
      </w:pPr>
    </w:p>
    <w:p w:rsidR="00F761A1" w:rsidRDefault="00F761A1" w:rsidP="00F761A1">
      <w:pPr>
        <w:spacing w:after="0" w:line="240" w:lineRule="auto"/>
        <w:jc w:val="both"/>
        <w:rPr>
          <w:rFonts w:ascii="Arial" w:hAnsi="Arial" w:cs="Arial"/>
        </w:rPr>
      </w:pPr>
      <w:r>
        <w:rPr>
          <w:rFonts w:ascii="Arial" w:hAnsi="Arial" w:cs="Arial"/>
        </w:rPr>
        <w:t xml:space="preserve">CQ2 currently supports three types of query methods: </w:t>
      </w:r>
    </w:p>
    <w:p w:rsidR="00F761A1" w:rsidRPr="00F761A1" w:rsidRDefault="00F761A1" w:rsidP="00F761A1">
      <w:pPr>
        <w:pStyle w:val="ListParagraph"/>
        <w:numPr>
          <w:ilvl w:val="0"/>
          <w:numId w:val="15"/>
        </w:numPr>
        <w:spacing w:after="0" w:line="240" w:lineRule="auto"/>
        <w:jc w:val="both"/>
        <w:rPr>
          <w:rFonts w:ascii="Arial" w:hAnsi="Arial" w:cs="Arial"/>
        </w:rPr>
      </w:pPr>
      <w:r w:rsidRPr="00F761A1">
        <w:rPr>
          <w:rFonts w:ascii="Arial" w:hAnsi="Arial" w:cs="Arial"/>
        </w:rPr>
        <w:t>“Accurate estimate” uses a large sketch, which has an error of about 1% (95% of queries will return a value within 1% of the true result) and usually takes a few seconds to run.</w:t>
      </w:r>
    </w:p>
    <w:p w:rsidR="00F761A1" w:rsidRPr="00F761A1" w:rsidRDefault="00F761A1" w:rsidP="00F761A1">
      <w:pPr>
        <w:pStyle w:val="ListParagraph"/>
        <w:numPr>
          <w:ilvl w:val="0"/>
          <w:numId w:val="15"/>
        </w:numPr>
        <w:spacing w:after="0" w:line="240" w:lineRule="auto"/>
        <w:jc w:val="both"/>
        <w:rPr>
          <w:rFonts w:ascii="Arial" w:hAnsi="Arial" w:cs="Arial"/>
        </w:rPr>
      </w:pPr>
      <w:r w:rsidRPr="00F761A1">
        <w:rPr>
          <w:rFonts w:ascii="Arial" w:hAnsi="Arial" w:cs="Arial"/>
        </w:rPr>
        <w:t>“Fast estimate” uses a small sketch, which has an error of about 10%, but usually runs in less than a second.</w:t>
      </w:r>
    </w:p>
    <w:p w:rsidR="00F761A1" w:rsidRPr="00F761A1" w:rsidRDefault="00F761A1" w:rsidP="00F761A1">
      <w:pPr>
        <w:pStyle w:val="ListParagraph"/>
        <w:numPr>
          <w:ilvl w:val="0"/>
          <w:numId w:val="15"/>
        </w:numPr>
        <w:spacing w:after="0" w:line="240" w:lineRule="auto"/>
        <w:jc w:val="both"/>
        <w:rPr>
          <w:rFonts w:ascii="Arial" w:hAnsi="Arial" w:cs="Arial"/>
        </w:rPr>
      </w:pPr>
      <w:r w:rsidRPr="00F761A1">
        <w:rPr>
          <w:rFonts w:ascii="Arial" w:hAnsi="Arial" w:cs="Arial"/>
        </w:rPr>
        <w:t>“No sampling” runs a normal i2b2 query, which returns the exact result, but is the slowest.</w:t>
      </w:r>
    </w:p>
    <w:p w:rsidR="00F761A1" w:rsidRDefault="00F761A1" w:rsidP="00F761A1">
      <w:pPr>
        <w:spacing w:after="0" w:line="240" w:lineRule="auto"/>
        <w:jc w:val="both"/>
        <w:rPr>
          <w:rFonts w:ascii="Arial" w:hAnsi="Arial" w:cs="Arial"/>
        </w:rPr>
      </w:pPr>
    </w:p>
    <w:p w:rsidR="00F761A1" w:rsidRDefault="00F761A1" w:rsidP="00F761A1">
      <w:pPr>
        <w:spacing w:after="0" w:line="240" w:lineRule="auto"/>
        <w:jc w:val="both"/>
        <w:rPr>
          <w:rFonts w:ascii="Arial" w:hAnsi="Arial" w:cs="Arial"/>
        </w:rPr>
      </w:pPr>
      <w:r>
        <w:rPr>
          <w:rFonts w:ascii="Arial" w:hAnsi="Arial" w:cs="Arial"/>
        </w:rPr>
        <w:t xml:space="preserve">When users click to run a query in the i2b2 web client, they will see a drop-down menu to select the query method. This is a “hidden feature” in the web client that is not visible </w:t>
      </w:r>
      <w:r w:rsidR="002D689B">
        <w:rPr>
          <w:rFonts w:ascii="Arial" w:hAnsi="Arial" w:cs="Arial"/>
        </w:rPr>
        <w:t>in standard i2b2. The web client shows the menu if there is a CRC parameter named QUERY_OPTIONS_XML in the PM.PM_CELL_PARAMS table. The value of this parameter is XML that defines which query methods should be visible to the user, and which order they should be listed. The method listed first is the default. We recommend using “Accurate estimate” as the default for large databases, and either removing this parameter or making “No sampling” the default for small databases.</w:t>
      </w:r>
    </w:p>
    <w:p w:rsidR="002D689B" w:rsidRDefault="002D689B" w:rsidP="00F761A1">
      <w:pPr>
        <w:spacing w:after="0" w:line="240" w:lineRule="auto"/>
        <w:jc w:val="both"/>
        <w:rPr>
          <w:rFonts w:ascii="Arial" w:hAnsi="Arial" w:cs="Arial"/>
        </w:rPr>
      </w:pPr>
    </w:p>
    <w:p w:rsidR="002D689B" w:rsidRDefault="002D689B" w:rsidP="00F761A1">
      <w:pPr>
        <w:spacing w:after="0" w:line="240" w:lineRule="auto"/>
        <w:jc w:val="both"/>
        <w:rPr>
          <w:rFonts w:ascii="Arial" w:hAnsi="Arial" w:cs="Arial"/>
        </w:rPr>
      </w:pPr>
      <w:r>
        <w:rPr>
          <w:rFonts w:ascii="Arial" w:hAnsi="Arial" w:cs="Arial"/>
        </w:rPr>
        <w:t>When a query is run using sketches, the web client will display both the estimate result as well as the error (95% confidence interval). It will also indicate the query method used. Note that confidence intervals are calculated based on the specific query. For example, although “Accurate estimate” can have a 1% error, for some queries the estimated error can be much larger. For other queries, the CQ2 query engine might determine that “No sampling” would actually be faster than using sketches. In this case, it will return the exact result with no confidence interval.</w:t>
      </w:r>
    </w:p>
    <w:p w:rsidR="002D689B" w:rsidRDefault="002D689B" w:rsidP="00F761A1">
      <w:pPr>
        <w:spacing w:after="0" w:line="240" w:lineRule="auto"/>
        <w:jc w:val="both"/>
        <w:rPr>
          <w:rFonts w:ascii="Arial" w:hAnsi="Arial" w:cs="Arial"/>
        </w:rPr>
      </w:pPr>
    </w:p>
    <w:p w:rsidR="002D689B" w:rsidRDefault="009B4866" w:rsidP="00F761A1">
      <w:pPr>
        <w:spacing w:after="0" w:line="240" w:lineRule="auto"/>
        <w:jc w:val="both"/>
        <w:rPr>
          <w:rFonts w:ascii="Arial" w:hAnsi="Arial" w:cs="Arial"/>
        </w:rPr>
      </w:pPr>
      <w:r>
        <w:rPr>
          <w:rFonts w:ascii="Arial" w:hAnsi="Arial" w:cs="Arial"/>
        </w:rPr>
        <w:t>If the user requests a patient or encounter set to be generated, and a sketch-based query method is selected, then only the sampled patients will be saved. A “No sampling” query must be run to save the full list of matching patients or encounters.</w:t>
      </w:r>
    </w:p>
    <w:p w:rsidR="009B4866" w:rsidRDefault="009B4866" w:rsidP="00F761A1">
      <w:pPr>
        <w:spacing w:after="0" w:line="240" w:lineRule="auto"/>
        <w:jc w:val="both"/>
        <w:rPr>
          <w:rFonts w:ascii="Arial" w:hAnsi="Arial" w:cs="Arial"/>
        </w:rPr>
      </w:pPr>
    </w:p>
    <w:p w:rsidR="00F761A1" w:rsidRDefault="00F761A1" w:rsidP="00F761A1">
      <w:pPr>
        <w:spacing w:after="0" w:line="240" w:lineRule="auto"/>
        <w:jc w:val="both"/>
        <w:rPr>
          <w:rFonts w:ascii="Arial" w:hAnsi="Arial" w:cs="Arial"/>
        </w:rPr>
      </w:pPr>
    </w:p>
    <w:p w:rsidR="00F761A1" w:rsidRDefault="00F761A1" w:rsidP="00F761A1">
      <w:pPr>
        <w:spacing w:after="0" w:line="240" w:lineRule="auto"/>
        <w:jc w:val="both"/>
        <w:rPr>
          <w:rFonts w:ascii="Arial" w:hAnsi="Arial" w:cs="Arial"/>
        </w:rPr>
      </w:pPr>
    </w:p>
    <w:p w:rsidR="00F761A1" w:rsidRDefault="00F761A1" w:rsidP="00F761A1">
      <w:pPr>
        <w:spacing w:after="0" w:line="240" w:lineRule="auto"/>
        <w:jc w:val="both"/>
        <w:rPr>
          <w:rFonts w:ascii="Arial" w:hAnsi="Arial" w:cs="Arial"/>
        </w:rPr>
      </w:pPr>
    </w:p>
    <w:p w:rsidR="00F761A1" w:rsidRDefault="00F761A1" w:rsidP="00F761A1">
      <w:pPr>
        <w:spacing w:after="0" w:line="240" w:lineRule="auto"/>
        <w:jc w:val="both"/>
        <w:rPr>
          <w:rFonts w:ascii="Arial" w:hAnsi="Arial" w:cs="Arial"/>
        </w:rPr>
      </w:pPr>
    </w:p>
    <w:p w:rsidR="007D4EE0" w:rsidRDefault="007D4EE0" w:rsidP="00F761A1">
      <w:pPr>
        <w:spacing w:after="0" w:line="240" w:lineRule="auto"/>
        <w:jc w:val="both"/>
        <w:rPr>
          <w:rFonts w:ascii="Arial" w:hAnsi="Arial" w:cs="Arial"/>
        </w:rPr>
      </w:pPr>
      <w:r>
        <w:rPr>
          <w:rFonts w:ascii="Arial" w:hAnsi="Arial" w:cs="Arial"/>
        </w:rPr>
        <w:br w:type="page"/>
      </w:r>
    </w:p>
    <w:p w:rsidR="007E06DF" w:rsidRDefault="007D4EE0" w:rsidP="007D4EE0">
      <w:pPr>
        <w:pStyle w:val="Heading1"/>
      </w:pPr>
      <w:bookmarkStart w:id="12" w:name="_Toc34172839"/>
      <w:r>
        <w:lastRenderedPageBreak/>
        <w:t>CQ2 Architecture</w:t>
      </w:r>
      <w:bookmarkEnd w:id="12"/>
    </w:p>
    <w:p w:rsidR="0014027C" w:rsidRDefault="0014027C" w:rsidP="00164DFB">
      <w:pPr>
        <w:spacing w:after="0" w:line="240" w:lineRule="auto"/>
        <w:jc w:val="both"/>
        <w:rPr>
          <w:rFonts w:ascii="Arial" w:hAnsi="Arial" w:cs="Arial"/>
        </w:rPr>
      </w:pPr>
    </w:p>
    <w:p w:rsidR="007D4EE0" w:rsidRDefault="007D4EE0" w:rsidP="00164DFB">
      <w:pPr>
        <w:spacing w:after="0" w:line="240" w:lineRule="auto"/>
        <w:jc w:val="both"/>
        <w:rPr>
          <w:rFonts w:ascii="Arial" w:hAnsi="Arial" w:cs="Arial"/>
        </w:rPr>
      </w:pPr>
      <w:r>
        <w:rPr>
          <w:rFonts w:ascii="Arial" w:hAnsi="Arial" w:cs="Arial"/>
        </w:rPr>
        <w:t>CQ2 combines the five main i2b2 databases into a single database with schemas</w:t>
      </w:r>
      <w:r w:rsidR="00164DFB">
        <w:rPr>
          <w:rFonts w:ascii="Arial" w:hAnsi="Arial" w:cs="Arial"/>
        </w:rPr>
        <w:t xml:space="preserve"> (Figure 1)</w:t>
      </w:r>
      <w:r>
        <w:rPr>
          <w:rFonts w:ascii="Arial" w:hAnsi="Arial" w:cs="Arial"/>
        </w:rPr>
        <w:t>. The functionality of the Java application layer of i2b2 has been ported to stored procedures in the CQ2 database. A thin web service proxy enables the regular i2b2 web client to communicate with CQ2 using standard i2b2 XML messages.</w:t>
      </w:r>
    </w:p>
    <w:p w:rsidR="007D4EE0" w:rsidRDefault="007D4EE0" w:rsidP="00164DFB">
      <w:pPr>
        <w:spacing w:after="0" w:line="240" w:lineRule="auto"/>
        <w:jc w:val="both"/>
        <w:rPr>
          <w:rFonts w:ascii="Arial" w:hAnsi="Arial" w:cs="Arial"/>
        </w:rPr>
      </w:pPr>
      <w:r>
        <w:rPr>
          <w:rFonts w:ascii="Arial" w:hAnsi="Arial" w:cs="Arial"/>
          <w:noProof/>
        </w:rPr>
        <w:drawing>
          <wp:inline distT="0" distB="0" distL="0" distR="0" wp14:anchorId="59E51C90">
            <wp:extent cx="6353175" cy="27088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6559" cy="2723120"/>
                    </a:xfrm>
                    <a:prstGeom prst="rect">
                      <a:avLst/>
                    </a:prstGeom>
                    <a:noFill/>
                  </pic:spPr>
                </pic:pic>
              </a:graphicData>
            </a:graphic>
          </wp:inline>
        </w:drawing>
      </w:r>
    </w:p>
    <w:p w:rsidR="00164DFB" w:rsidRPr="00164DFB" w:rsidRDefault="00164DFB" w:rsidP="00164DFB">
      <w:pPr>
        <w:spacing w:after="0" w:line="240" w:lineRule="auto"/>
        <w:jc w:val="both"/>
        <w:rPr>
          <w:rFonts w:ascii="Arial" w:hAnsi="Arial" w:cs="Arial"/>
          <w:b/>
        </w:rPr>
      </w:pPr>
      <w:r w:rsidRPr="00164DFB">
        <w:rPr>
          <w:rFonts w:ascii="Arial" w:hAnsi="Arial" w:cs="Arial"/>
          <w:b/>
        </w:rPr>
        <w:t>Figure 1. Comparing the software architecture of i2b2 and CQ2.</w:t>
      </w:r>
    </w:p>
    <w:p w:rsidR="0014027C" w:rsidRDefault="0014027C" w:rsidP="00164DFB">
      <w:pPr>
        <w:spacing w:after="0" w:line="240" w:lineRule="auto"/>
        <w:jc w:val="both"/>
        <w:rPr>
          <w:rFonts w:ascii="Arial" w:hAnsi="Arial" w:cs="Arial"/>
        </w:rPr>
      </w:pPr>
    </w:p>
    <w:p w:rsidR="00164DFB" w:rsidRDefault="00164DFB" w:rsidP="00164DFB">
      <w:pPr>
        <w:spacing w:after="0" w:line="240" w:lineRule="auto"/>
        <w:jc w:val="both"/>
        <w:rPr>
          <w:rFonts w:ascii="Arial" w:hAnsi="Arial" w:cs="Arial"/>
        </w:rPr>
      </w:pPr>
    </w:p>
    <w:p w:rsidR="00164DFB" w:rsidRDefault="00164DFB" w:rsidP="00164DFB">
      <w:pPr>
        <w:spacing w:after="0" w:line="240" w:lineRule="auto"/>
        <w:jc w:val="both"/>
        <w:rPr>
          <w:rFonts w:ascii="Arial" w:hAnsi="Arial" w:cs="Arial"/>
        </w:rPr>
      </w:pPr>
      <w:r>
        <w:rPr>
          <w:rFonts w:ascii="Arial" w:hAnsi="Arial" w:cs="Arial"/>
        </w:rPr>
        <w:t xml:space="preserve">CQ2 precomputes aggregate “rollup” tables to improve the performance of its query engine (Figure 2). Most queries can use these rollup tables instead of the full i2b2 </w:t>
      </w:r>
      <w:proofErr w:type="spellStart"/>
      <w:r>
        <w:rPr>
          <w:rFonts w:ascii="Arial" w:hAnsi="Arial" w:cs="Arial"/>
        </w:rPr>
        <w:t>observation_fact</w:t>
      </w:r>
      <w:proofErr w:type="spellEnd"/>
      <w:r>
        <w:rPr>
          <w:rFonts w:ascii="Arial" w:hAnsi="Arial" w:cs="Arial"/>
        </w:rPr>
        <w:t xml:space="preserve"> table. The example below shows the </w:t>
      </w:r>
      <w:proofErr w:type="spellStart"/>
      <w:r>
        <w:rPr>
          <w:rFonts w:ascii="Arial" w:hAnsi="Arial" w:cs="Arial"/>
        </w:rPr>
        <w:t>observation_fact</w:t>
      </w:r>
      <w:proofErr w:type="spellEnd"/>
      <w:r>
        <w:rPr>
          <w:rFonts w:ascii="Arial" w:hAnsi="Arial" w:cs="Arial"/>
        </w:rPr>
        <w:t xml:space="preserve"> data for two patients with multiple white blood cell (WBC) count test results. The cq2_path_patient table combines these into a single WBC row per patient. The cq2_path_counts table further reduces this to a single row for WBC that indicates that two patients had the test, with values ranging from 6.9 to 11.5 between 1/5/2013 and 4/16/2018.</w:t>
      </w:r>
    </w:p>
    <w:p w:rsidR="00164DFB" w:rsidRDefault="00164DFB" w:rsidP="00164DFB">
      <w:pPr>
        <w:spacing w:after="0" w:line="240" w:lineRule="auto"/>
        <w:jc w:val="both"/>
        <w:rPr>
          <w:rFonts w:ascii="Arial" w:hAnsi="Arial" w:cs="Arial"/>
        </w:rPr>
      </w:pPr>
    </w:p>
    <w:p w:rsidR="00164DFB" w:rsidRDefault="00164DFB" w:rsidP="00164DFB">
      <w:pPr>
        <w:spacing w:after="120" w:line="240" w:lineRule="auto"/>
        <w:rPr>
          <w:rFonts w:ascii="Arial" w:hAnsi="Arial" w:cs="Arial"/>
        </w:rPr>
      </w:pPr>
      <w:r>
        <w:rPr>
          <w:rFonts w:ascii="Arial" w:hAnsi="Arial" w:cs="Arial"/>
          <w:noProof/>
        </w:rPr>
        <w:drawing>
          <wp:inline distT="0" distB="0" distL="0" distR="0">
            <wp:extent cx="4384565"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Q2_Rollup_Table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92454" cy="2519124"/>
                    </a:xfrm>
                    <a:prstGeom prst="rect">
                      <a:avLst/>
                    </a:prstGeom>
                  </pic:spPr>
                </pic:pic>
              </a:graphicData>
            </a:graphic>
          </wp:inline>
        </w:drawing>
      </w:r>
    </w:p>
    <w:p w:rsidR="00164DFB" w:rsidRDefault="00164DFB" w:rsidP="007E06DF">
      <w:pPr>
        <w:spacing w:after="0" w:line="240" w:lineRule="auto"/>
        <w:rPr>
          <w:rFonts w:ascii="Arial" w:hAnsi="Arial" w:cs="Arial"/>
          <w:b/>
        </w:rPr>
      </w:pPr>
      <w:r w:rsidRPr="00164DFB">
        <w:rPr>
          <w:rFonts w:ascii="Arial" w:hAnsi="Arial" w:cs="Arial"/>
          <w:b/>
        </w:rPr>
        <w:t>Figure 2. An example of aggregate rollup tables in CQ2.</w:t>
      </w:r>
    </w:p>
    <w:p w:rsidR="0014027C" w:rsidRDefault="0014027C" w:rsidP="007E06DF">
      <w:pPr>
        <w:spacing w:after="0" w:line="240" w:lineRule="auto"/>
        <w:rPr>
          <w:rFonts w:ascii="Arial" w:hAnsi="Arial" w:cs="Arial"/>
          <w:b/>
        </w:rPr>
      </w:pPr>
    </w:p>
    <w:p w:rsidR="0014027C" w:rsidRDefault="0014027C">
      <w:pPr>
        <w:rPr>
          <w:rFonts w:ascii="Arial" w:hAnsi="Arial" w:cs="Arial"/>
        </w:rPr>
      </w:pPr>
      <w:r>
        <w:rPr>
          <w:rFonts w:ascii="Arial" w:hAnsi="Arial" w:cs="Arial"/>
        </w:rPr>
        <w:br w:type="page"/>
      </w:r>
    </w:p>
    <w:p w:rsidR="0014027C" w:rsidRDefault="0014027C" w:rsidP="009F0D0C">
      <w:pPr>
        <w:spacing w:after="0" w:line="240" w:lineRule="auto"/>
        <w:jc w:val="both"/>
        <w:rPr>
          <w:rFonts w:ascii="Arial" w:hAnsi="Arial" w:cs="Arial"/>
        </w:rPr>
      </w:pPr>
      <w:r>
        <w:rPr>
          <w:rFonts w:ascii="Arial" w:hAnsi="Arial" w:cs="Arial"/>
        </w:rPr>
        <w:lastRenderedPageBreak/>
        <w:t xml:space="preserve">The i2b2 web client sends a </w:t>
      </w:r>
      <w:proofErr w:type="spellStart"/>
      <w:r>
        <w:rPr>
          <w:rFonts w:ascii="Arial" w:hAnsi="Arial" w:cs="Arial"/>
        </w:rPr>
        <w:t>RequestXML</w:t>
      </w:r>
      <w:proofErr w:type="spellEnd"/>
      <w:r>
        <w:rPr>
          <w:rFonts w:ascii="Arial" w:hAnsi="Arial" w:cs="Arial"/>
        </w:rPr>
        <w:t xml:space="preserve"> message to a web client proxy on the web server</w:t>
      </w:r>
      <w:r w:rsidR="00D90811">
        <w:rPr>
          <w:rFonts w:ascii="Arial" w:hAnsi="Arial" w:cs="Arial"/>
        </w:rPr>
        <w:t xml:space="preserve"> (Figure 3)</w:t>
      </w:r>
      <w:r>
        <w:rPr>
          <w:rFonts w:ascii="Arial" w:hAnsi="Arial" w:cs="Arial"/>
        </w:rPr>
        <w:t xml:space="preserve">. This sends the message to a service proxy (which is usually on the same web server), which in turn sends it to the </w:t>
      </w:r>
      <w:proofErr w:type="spellStart"/>
      <w:r>
        <w:rPr>
          <w:rFonts w:ascii="Arial" w:hAnsi="Arial" w:cs="Arial"/>
        </w:rPr>
        <w:t>HIVE.uspGetResponse</w:t>
      </w:r>
      <w:proofErr w:type="spellEnd"/>
      <w:r>
        <w:rPr>
          <w:rFonts w:ascii="Arial" w:hAnsi="Arial" w:cs="Arial"/>
        </w:rPr>
        <w:t xml:space="preserve"> database stored procedure. This calls </w:t>
      </w:r>
      <w:proofErr w:type="spellStart"/>
      <w:r>
        <w:rPr>
          <w:rFonts w:ascii="Arial" w:hAnsi="Arial" w:cs="Arial"/>
        </w:rPr>
        <w:t>HIVE.uspGetCellSchema</w:t>
      </w:r>
      <w:proofErr w:type="spellEnd"/>
      <w:r>
        <w:rPr>
          <w:rFonts w:ascii="Arial" w:hAnsi="Arial" w:cs="Arial"/>
        </w:rPr>
        <w:t>, which parses the request to determine the project and service</w:t>
      </w:r>
      <w:r w:rsidR="009F0D0C">
        <w:rPr>
          <w:rFonts w:ascii="Arial" w:hAnsi="Arial" w:cs="Arial"/>
        </w:rPr>
        <w:t>, and then</w:t>
      </w:r>
      <w:r>
        <w:rPr>
          <w:rFonts w:ascii="Arial" w:hAnsi="Arial" w:cs="Arial"/>
        </w:rPr>
        <w:t xml:space="preserve"> uses the HIVE.SERVICE_LOOKUP table to determine which </w:t>
      </w:r>
      <w:proofErr w:type="gramStart"/>
      <w:r>
        <w:rPr>
          <w:rFonts w:ascii="Arial" w:hAnsi="Arial" w:cs="Arial"/>
        </w:rPr>
        <w:t>HIVE.{</w:t>
      </w:r>
      <w:proofErr w:type="gramEnd"/>
      <w:r>
        <w:rPr>
          <w:rFonts w:ascii="Arial" w:hAnsi="Arial" w:cs="Arial"/>
        </w:rPr>
        <w:t xml:space="preserve">CELL}_DB_LOOKUP table contains the name of the database schema </w:t>
      </w:r>
      <w:r w:rsidR="009F0D0C">
        <w:rPr>
          <w:rFonts w:ascii="Arial" w:hAnsi="Arial" w:cs="Arial"/>
        </w:rPr>
        <w:t>that corresponds</w:t>
      </w:r>
      <w:r>
        <w:rPr>
          <w:rFonts w:ascii="Arial" w:hAnsi="Arial" w:cs="Arial"/>
        </w:rPr>
        <w:t xml:space="preserve"> to the project and service.</w:t>
      </w:r>
      <w:r w:rsidR="009F0D0C">
        <w:rPr>
          <w:rFonts w:ascii="Arial" w:hAnsi="Arial" w:cs="Arial"/>
        </w:rPr>
        <w:t xml:space="preserve"> </w:t>
      </w:r>
      <w:proofErr w:type="spellStart"/>
      <w:r w:rsidR="009F0D0C">
        <w:rPr>
          <w:rFonts w:ascii="Arial" w:hAnsi="Arial" w:cs="Arial"/>
        </w:rPr>
        <w:t>HIVE.uspGetResponse</w:t>
      </w:r>
      <w:proofErr w:type="spellEnd"/>
      <w:r w:rsidR="009F0D0C">
        <w:rPr>
          <w:rFonts w:ascii="Arial" w:hAnsi="Arial" w:cs="Arial"/>
        </w:rPr>
        <w:t xml:space="preserve"> then calls a procedure named </w:t>
      </w:r>
      <w:proofErr w:type="spellStart"/>
      <w:r w:rsidR="009F0D0C">
        <w:rPr>
          <w:rFonts w:ascii="Arial" w:hAnsi="Arial" w:cs="Arial"/>
        </w:rPr>
        <w:t>uspGetResponse</w:t>
      </w:r>
      <w:proofErr w:type="spellEnd"/>
      <w:r w:rsidR="009F0D0C">
        <w:rPr>
          <w:rFonts w:ascii="Arial" w:hAnsi="Arial" w:cs="Arial"/>
        </w:rPr>
        <w:t xml:space="preserve"> in this schema, which determines the procedure to use to run the requested operation. That information is sent to </w:t>
      </w:r>
      <w:proofErr w:type="spellStart"/>
      <w:r w:rsidR="009F0D0C">
        <w:rPr>
          <w:rFonts w:ascii="Arial" w:hAnsi="Arial" w:cs="Arial"/>
        </w:rPr>
        <w:t>HIVE.uspGetStandardResponse</w:t>
      </w:r>
      <w:proofErr w:type="spellEnd"/>
      <w:r w:rsidR="009F0D0C">
        <w:rPr>
          <w:rFonts w:ascii="Arial" w:hAnsi="Arial" w:cs="Arial"/>
        </w:rPr>
        <w:t xml:space="preserve">, which calls the procedure to run the operation, and then constructs the </w:t>
      </w:r>
      <w:proofErr w:type="spellStart"/>
      <w:r w:rsidR="009F0D0C">
        <w:rPr>
          <w:rFonts w:ascii="Arial" w:hAnsi="Arial" w:cs="Arial"/>
        </w:rPr>
        <w:t>ResponseXML</w:t>
      </w:r>
      <w:proofErr w:type="spellEnd"/>
      <w:r w:rsidR="009F0D0C">
        <w:rPr>
          <w:rFonts w:ascii="Arial" w:hAnsi="Arial" w:cs="Arial"/>
        </w:rPr>
        <w:t xml:space="preserve"> message. </w:t>
      </w:r>
      <w:proofErr w:type="spellStart"/>
      <w:r w:rsidR="009F0D0C">
        <w:rPr>
          <w:rFonts w:ascii="Arial" w:hAnsi="Arial" w:cs="Arial"/>
        </w:rPr>
        <w:t>HIVE.uspGetResponse</w:t>
      </w:r>
      <w:proofErr w:type="spellEnd"/>
      <w:r w:rsidR="009F0D0C">
        <w:rPr>
          <w:rFonts w:ascii="Arial" w:hAnsi="Arial" w:cs="Arial"/>
        </w:rPr>
        <w:t xml:space="preserve"> saves the </w:t>
      </w:r>
      <w:proofErr w:type="spellStart"/>
      <w:r w:rsidR="009F0D0C">
        <w:rPr>
          <w:rFonts w:ascii="Arial" w:hAnsi="Arial" w:cs="Arial"/>
        </w:rPr>
        <w:t>RequestXML</w:t>
      </w:r>
      <w:proofErr w:type="spellEnd"/>
      <w:r w:rsidR="009F0D0C">
        <w:rPr>
          <w:rFonts w:ascii="Arial" w:hAnsi="Arial" w:cs="Arial"/>
        </w:rPr>
        <w:t xml:space="preserve">, </w:t>
      </w:r>
      <w:proofErr w:type="spellStart"/>
      <w:r w:rsidR="009F0D0C">
        <w:rPr>
          <w:rFonts w:ascii="Arial" w:hAnsi="Arial" w:cs="Arial"/>
        </w:rPr>
        <w:t>ResponseXML</w:t>
      </w:r>
      <w:proofErr w:type="spellEnd"/>
      <w:r w:rsidR="009F0D0C">
        <w:rPr>
          <w:rFonts w:ascii="Arial" w:hAnsi="Arial" w:cs="Arial"/>
        </w:rPr>
        <w:t xml:space="preserve">, and additional details (e.g., request time, processing time, user’s IP address, etc.) to the </w:t>
      </w:r>
      <w:proofErr w:type="spellStart"/>
      <w:r w:rsidR="009F0D0C">
        <w:rPr>
          <w:rFonts w:ascii="Arial" w:hAnsi="Arial" w:cs="Arial"/>
        </w:rPr>
        <w:t>HIVE.MessageLog</w:t>
      </w:r>
      <w:proofErr w:type="spellEnd"/>
      <w:r w:rsidR="009F0D0C">
        <w:rPr>
          <w:rFonts w:ascii="Arial" w:hAnsi="Arial" w:cs="Arial"/>
        </w:rPr>
        <w:t xml:space="preserve"> table. It then returns the </w:t>
      </w:r>
      <w:proofErr w:type="spellStart"/>
      <w:r w:rsidR="009F0D0C">
        <w:rPr>
          <w:rFonts w:ascii="Arial" w:hAnsi="Arial" w:cs="Arial"/>
        </w:rPr>
        <w:t>ResponseXML</w:t>
      </w:r>
      <w:proofErr w:type="spellEnd"/>
      <w:r w:rsidR="009F0D0C">
        <w:rPr>
          <w:rFonts w:ascii="Arial" w:hAnsi="Arial" w:cs="Arial"/>
        </w:rPr>
        <w:t xml:space="preserve"> to the service proxy, which sends it back to the web client proxy, and finally back to the web client.</w:t>
      </w:r>
    </w:p>
    <w:p w:rsidR="0014027C" w:rsidRDefault="0014027C" w:rsidP="007E06DF">
      <w:pPr>
        <w:spacing w:after="0" w:line="240" w:lineRule="auto"/>
        <w:rPr>
          <w:rFonts w:ascii="Arial" w:hAnsi="Arial" w:cs="Arial"/>
        </w:rPr>
      </w:pPr>
    </w:p>
    <w:p w:rsidR="0014027C" w:rsidRDefault="0014027C" w:rsidP="007E06DF">
      <w:pPr>
        <w:spacing w:after="0" w:line="240" w:lineRule="auto"/>
        <w:rPr>
          <w:rFonts w:ascii="Arial" w:hAnsi="Arial" w:cs="Arial"/>
        </w:rPr>
      </w:pPr>
      <w:r>
        <w:rPr>
          <w:rFonts w:ascii="Arial" w:hAnsi="Arial" w:cs="Arial"/>
          <w:noProof/>
        </w:rPr>
        <w:drawing>
          <wp:inline distT="0" distB="0" distL="0" distR="0" wp14:anchorId="0C815E1F">
            <wp:extent cx="5895975" cy="570891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5612" cy="5727926"/>
                    </a:xfrm>
                    <a:prstGeom prst="rect">
                      <a:avLst/>
                    </a:prstGeom>
                    <a:noFill/>
                  </pic:spPr>
                </pic:pic>
              </a:graphicData>
            </a:graphic>
          </wp:inline>
        </w:drawing>
      </w:r>
    </w:p>
    <w:p w:rsidR="009F0D0C" w:rsidRDefault="009F0D0C" w:rsidP="007E06DF">
      <w:pPr>
        <w:spacing w:after="0" w:line="240" w:lineRule="auto"/>
        <w:rPr>
          <w:rFonts w:ascii="Arial" w:hAnsi="Arial" w:cs="Arial"/>
          <w:b/>
        </w:rPr>
      </w:pPr>
      <w:r w:rsidRPr="009F0D0C">
        <w:rPr>
          <w:rFonts w:ascii="Arial" w:hAnsi="Arial" w:cs="Arial"/>
          <w:b/>
        </w:rPr>
        <w:t>Figure 3. Messaging flow in CQ2.</w:t>
      </w:r>
    </w:p>
    <w:p w:rsidR="00AD09F8" w:rsidRDefault="00AD09F8">
      <w:pPr>
        <w:rPr>
          <w:rFonts w:ascii="Arial" w:hAnsi="Arial" w:cs="Arial"/>
          <w:b/>
        </w:rPr>
      </w:pPr>
      <w:r>
        <w:rPr>
          <w:rFonts w:ascii="Arial" w:hAnsi="Arial" w:cs="Arial"/>
          <w:b/>
        </w:rPr>
        <w:br w:type="page"/>
      </w:r>
    </w:p>
    <w:p w:rsidR="00AD09F8" w:rsidRPr="00AD09F8" w:rsidRDefault="00AD09F8" w:rsidP="00AD09F8">
      <w:pPr>
        <w:pStyle w:val="Heading1"/>
      </w:pPr>
      <w:bookmarkStart w:id="13" w:name="_Toc34172840"/>
      <w:r>
        <w:lastRenderedPageBreak/>
        <w:t>Functional Comparison of</w:t>
      </w:r>
      <w:r w:rsidRPr="00AD09F8">
        <w:t xml:space="preserve"> CQ2 and i2b2</w:t>
      </w:r>
      <w:bookmarkEnd w:id="13"/>
    </w:p>
    <w:p w:rsidR="00AD09F8" w:rsidRDefault="00AD09F8" w:rsidP="00AD09F8">
      <w:pPr>
        <w:spacing w:after="0" w:line="240" w:lineRule="auto"/>
        <w:rPr>
          <w:rFonts w:ascii="Arial" w:hAnsi="Arial" w:cs="Arial"/>
        </w:rPr>
      </w:pPr>
    </w:p>
    <w:p w:rsidR="00AD09F8" w:rsidRDefault="006A364E" w:rsidP="00AD09F8">
      <w:pPr>
        <w:spacing w:after="0" w:line="240" w:lineRule="auto"/>
        <w:rPr>
          <w:rFonts w:ascii="Arial" w:hAnsi="Arial" w:cs="Arial"/>
        </w:rPr>
      </w:pPr>
      <w:r w:rsidRPr="006A364E">
        <w:rPr>
          <w:rFonts w:ascii="Arial" w:hAnsi="Arial" w:cs="Arial"/>
          <w:u w:val="single"/>
        </w:rPr>
        <w:t>i2b2 XML messages</w:t>
      </w:r>
      <w:r>
        <w:rPr>
          <w:rFonts w:ascii="Arial" w:hAnsi="Arial" w:cs="Arial"/>
        </w:rPr>
        <w:t xml:space="preserve">. </w:t>
      </w:r>
      <w:r w:rsidR="00AD09F8">
        <w:rPr>
          <w:rFonts w:ascii="Arial" w:hAnsi="Arial" w:cs="Arial"/>
        </w:rPr>
        <w:t>CQ2 uses the same XML message format as i2b2, making it compatible with any “cells” that have been developed to work with an i2b2 “hive”, including SHRINE.</w:t>
      </w:r>
    </w:p>
    <w:p w:rsidR="00AD09F8" w:rsidRDefault="00AD09F8" w:rsidP="00AD09F8">
      <w:pPr>
        <w:spacing w:after="0" w:line="240" w:lineRule="auto"/>
        <w:rPr>
          <w:rFonts w:ascii="Arial" w:hAnsi="Arial" w:cs="Arial"/>
        </w:rPr>
      </w:pPr>
    </w:p>
    <w:p w:rsidR="00AD09F8" w:rsidRDefault="006A364E" w:rsidP="00AD09F8">
      <w:pPr>
        <w:spacing w:after="0" w:line="240" w:lineRule="auto"/>
        <w:rPr>
          <w:rFonts w:ascii="Arial" w:hAnsi="Arial" w:cs="Arial"/>
        </w:rPr>
      </w:pPr>
      <w:r w:rsidRPr="006A364E">
        <w:rPr>
          <w:rFonts w:ascii="Arial" w:hAnsi="Arial" w:cs="Arial"/>
          <w:u w:val="single"/>
        </w:rPr>
        <w:t>PM Cell</w:t>
      </w:r>
      <w:r>
        <w:rPr>
          <w:rFonts w:ascii="Arial" w:hAnsi="Arial" w:cs="Arial"/>
        </w:rPr>
        <w:t xml:space="preserve">. </w:t>
      </w:r>
      <w:r w:rsidR="00AD09F8">
        <w:rPr>
          <w:rFonts w:ascii="Arial" w:hAnsi="Arial" w:cs="Arial"/>
        </w:rPr>
        <w:t>CQ2 supports multiple projects, users with different roles in projects, encrypted passwords and password tokens.</w:t>
      </w:r>
      <w:r>
        <w:rPr>
          <w:rFonts w:ascii="Arial" w:hAnsi="Arial" w:cs="Arial"/>
        </w:rPr>
        <w:t xml:space="preserve"> CQ2 does not support any of the Admin services, which enable users to view and edit the PM tables through the web client. We currently have no plans to add this. We expect that users of CQ2 would prefer to manage these tables through database tools and ETL workflows.</w:t>
      </w:r>
    </w:p>
    <w:p w:rsidR="00AD09F8" w:rsidRDefault="00AD09F8" w:rsidP="00AD09F8">
      <w:pPr>
        <w:spacing w:after="0" w:line="240" w:lineRule="auto"/>
        <w:rPr>
          <w:rFonts w:ascii="Arial" w:hAnsi="Arial" w:cs="Arial"/>
        </w:rPr>
      </w:pPr>
    </w:p>
    <w:p w:rsidR="00AD09F8" w:rsidRDefault="006A364E" w:rsidP="00AD09F8">
      <w:pPr>
        <w:spacing w:after="0" w:line="240" w:lineRule="auto"/>
        <w:rPr>
          <w:rFonts w:ascii="Arial" w:hAnsi="Arial" w:cs="Arial"/>
        </w:rPr>
      </w:pPr>
      <w:r w:rsidRPr="006A364E">
        <w:rPr>
          <w:rFonts w:ascii="Arial" w:hAnsi="Arial" w:cs="Arial"/>
          <w:u w:val="single"/>
        </w:rPr>
        <w:t>Ontology Cell</w:t>
      </w:r>
      <w:r>
        <w:rPr>
          <w:rFonts w:ascii="Arial" w:hAnsi="Arial" w:cs="Arial"/>
        </w:rPr>
        <w:t xml:space="preserve">. </w:t>
      </w:r>
      <w:r w:rsidR="00AD09F8">
        <w:rPr>
          <w:rFonts w:ascii="Arial" w:hAnsi="Arial" w:cs="Arial"/>
        </w:rPr>
        <w:t>CQ2 support</w:t>
      </w:r>
      <w:r w:rsidR="006E3AA3">
        <w:rPr>
          <w:rFonts w:ascii="Arial" w:hAnsi="Arial" w:cs="Arial"/>
        </w:rPr>
        <w:t>s</w:t>
      </w:r>
      <w:r w:rsidR="00AD09F8">
        <w:rPr>
          <w:rFonts w:ascii="Arial" w:hAnsi="Arial" w:cs="Arial"/>
        </w:rPr>
        <w:t xml:space="preserve"> multiple ontology tables, managed through the </w:t>
      </w:r>
      <w:proofErr w:type="spellStart"/>
      <w:r w:rsidR="00AD09F8">
        <w:rPr>
          <w:rFonts w:ascii="Arial" w:hAnsi="Arial" w:cs="Arial"/>
        </w:rPr>
        <w:t>table_access</w:t>
      </w:r>
      <w:proofErr w:type="spellEnd"/>
      <w:r w:rsidR="00AD09F8">
        <w:rPr>
          <w:rFonts w:ascii="Arial" w:hAnsi="Arial" w:cs="Arial"/>
        </w:rPr>
        <w:t xml:space="preserve"> table. However, </w:t>
      </w:r>
      <w:r>
        <w:rPr>
          <w:rFonts w:ascii="Arial" w:hAnsi="Arial" w:cs="Arial"/>
        </w:rPr>
        <w:t>the stored procedure that generates the derived aggregate data tables requires a single view that combines all ontology tables. We might modify this procedure in the future to read directly from the ontology tables, eliminating the need for the view.</w:t>
      </w:r>
    </w:p>
    <w:p w:rsidR="006A364E" w:rsidRDefault="006A364E" w:rsidP="00AD09F8">
      <w:pPr>
        <w:spacing w:after="0" w:line="240" w:lineRule="auto"/>
        <w:rPr>
          <w:rFonts w:ascii="Arial" w:hAnsi="Arial" w:cs="Arial"/>
        </w:rPr>
      </w:pPr>
    </w:p>
    <w:p w:rsidR="006A364E" w:rsidRDefault="006A364E" w:rsidP="00AD09F8">
      <w:pPr>
        <w:spacing w:after="0" w:line="240" w:lineRule="auto"/>
        <w:rPr>
          <w:rFonts w:ascii="Arial" w:hAnsi="Arial" w:cs="Arial"/>
        </w:rPr>
      </w:pPr>
      <w:r w:rsidRPr="006A364E">
        <w:rPr>
          <w:rFonts w:ascii="Arial" w:hAnsi="Arial" w:cs="Arial"/>
          <w:u w:val="single"/>
        </w:rPr>
        <w:t>Workplace Cell</w:t>
      </w:r>
      <w:r>
        <w:rPr>
          <w:rFonts w:ascii="Arial" w:hAnsi="Arial" w:cs="Arial"/>
        </w:rPr>
        <w:t>. The Workplace cell in CQ2 functions the same as i2b2.</w:t>
      </w:r>
    </w:p>
    <w:p w:rsidR="006A364E" w:rsidRDefault="006A364E" w:rsidP="00AD09F8">
      <w:pPr>
        <w:spacing w:after="0" w:line="240" w:lineRule="auto"/>
        <w:rPr>
          <w:rFonts w:ascii="Arial" w:hAnsi="Arial" w:cs="Arial"/>
        </w:rPr>
      </w:pPr>
    </w:p>
    <w:p w:rsidR="006A364E" w:rsidRDefault="006A364E" w:rsidP="00AD09F8">
      <w:pPr>
        <w:spacing w:after="0" w:line="240" w:lineRule="auto"/>
        <w:rPr>
          <w:rFonts w:ascii="Arial" w:hAnsi="Arial" w:cs="Arial"/>
        </w:rPr>
      </w:pPr>
      <w:r w:rsidRPr="001D054D">
        <w:rPr>
          <w:rFonts w:ascii="Arial" w:hAnsi="Arial" w:cs="Arial"/>
          <w:u w:val="single"/>
        </w:rPr>
        <w:t>CRC Cell (PDO)</w:t>
      </w:r>
      <w:r>
        <w:rPr>
          <w:rFonts w:ascii="Arial" w:hAnsi="Arial" w:cs="Arial"/>
        </w:rPr>
        <w:t xml:space="preserve">. We believe CQ2 functions the same as i2b2. It requires the user to have a role that allows </w:t>
      </w:r>
      <w:r w:rsidR="001D054D">
        <w:rPr>
          <w:rFonts w:ascii="Arial" w:hAnsi="Arial" w:cs="Arial"/>
        </w:rPr>
        <w:t>viewing patient level data. It uses the PATIENT_MAPPING and ENCOUNTER_MAPPING tables as designed in i2b2. It supports the different ways of specifying which data to return. However, due to limitations in the i2b2 documentation and few examples, it is difficult to know if the code has been ported correctly to CQ2.</w:t>
      </w:r>
    </w:p>
    <w:p w:rsidR="001D054D" w:rsidRDefault="001D054D" w:rsidP="00AD09F8">
      <w:pPr>
        <w:spacing w:after="0" w:line="240" w:lineRule="auto"/>
        <w:rPr>
          <w:rFonts w:ascii="Arial" w:hAnsi="Arial" w:cs="Arial"/>
        </w:rPr>
      </w:pPr>
    </w:p>
    <w:p w:rsidR="001D054D" w:rsidRDefault="001D054D" w:rsidP="00AD09F8">
      <w:pPr>
        <w:spacing w:after="0" w:line="240" w:lineRule="auto"/>
        <w:rPr>
          <w:rFonts w:ascii="Arial" w:hAnsi="Arial" w:cs="Arial"/>
        </w:rPr>
      </w:pPr>
      <w:r w:rsidRPr="001D054D">
        <w:rPr>
          <w:rFonts w:ascii="Arial" w:hAnsi="Arial" w:cs="Arial"/>
          <w:u w:val="single"/>
        </w:rPr>
        <w:t>CRC Cell (</w:t>
      </w:r>
      <w:proofErr w:type="spellStart"/>
      <w:r w:rsidRPr="001D054D">
        <w:rPr>
          <w:rFonts w:ascii="Arial" w:hAnsi="Arial" w:cs="Arial"/>
          <w:u w:val="single"/>
        </w:rPr>
        <w:t>getNameInfo</w:t>
      </w:r>
      <w:proofErr w:type="spellEnd"/>
      <w:r w:rsidRPr="001D054D">
        <w:rPr>
          <w:rFonts w:ascii="Arial" w:hAnsi="Arial" w:cs="Arial"/>
          <w:u w:val="single"/>
        </w:rPr>
        <w:t>)</w:t>
      </w:r>
      <w:r>
        <w:rPr>
          <w:rFonts w:ascii="Arial" w:hAnsi="Arial" w:cs="Arial"/>
        </w:rPr>
        <w:t xml:space="preserve">. </w:t>
      </w:r>
      <w:r w:rsidR="006E3AA3">
        <w:rPr>
          <w:rFonts w:ascii="Arial" w:hAnsi="Arial" w:cs="Arial"/>
        </w:rPr>
        <w:t xml:space="preserve">Like i2b2, </w:t>
      </w:r>
      <w:r>
        <w:rPr>
          <w:rFonts w:ascii="Arial" w:hAnsi="Arial" w:cs="Arial"/>
        </w:rPr>
        <w:t>CQ2 enables users to paginate through previous queries a</w:t>
      </w:r>
      <w:r w:rsidR="006E3AA3">
        <w:rPr>
          <w:rFonts w:ascii="Arial" w:hAnsi="Arial" w:cs="Arial"/>
        </w:rPr>
        <w:t>nd search for queries by name. However, we have found</w:t>
      </w:r>
      <w:r>
        <w:rPr>
          <w:rFonts w:ascii="Arial" w:hAnsi="Arial" w:cs="Arial"/>
        </w:rPr>
        <w:t xml:space="preserve"> little documentation on this service. As a result, we are unable to determine how some of the search options in i2b2 are supposed to work.</w:t>
      </w:r>
    </w:p>
    <w:p w:rsidR="001D054D" w:rsidRDefault="001D054D" w:rsidP="00AD09F8">
      <w:pPr>
        <w:spacing w:after="0" w:line="240" w:lineRule="auto"/>
        <w:rPr>
          <w:rFonts w:ascii="Arial" w:hAnsi="Arial" w:cs="Arial"/>
        </w:rPr>
      </w:pPr>
    </w:p>
    <w:p w:rsidR="006E3AA3" w:rsidRDefault="006E3AA3" w:rsidP="00AD09F8">
      <w:pPr>
        <w:spacing w:after="0" w:line="240" w:lineRule="auto"/>
        <w:rPr>
          <w:rFonts w:ascii="Arial" w:hAnsi="Arial" w:cs="Arial"/>
        </w:rPr>
      </w:pPr>
      <w:r w:rsidRPr="006E3AA3">
        <w:rPr>
          <w:rFonts w:ascii="Arial" w:hAnsi="Arial" w:cs="Arial"/>
          <w:u w:val="single"/>
        </w:rPr>
        <w:t>CRC Cell (PSM)</w:t>
      </w:r>
      <w:r>
        <w:rPr>
          <w:rFonts w:ascii="Arial" w:hAnsi="Arial" w:cs="Arial"/>
        </w:rPr>
        <w:t>. This is the aggregate query service.</w:t>
      </w:r>
    </w:p>
    <w:p w:rsidR="005F688B" w:rsidRDefault="005F688B" w:rsidP="006669BB">
      <w:pPr>
        <w:pStyle w:val="ListParagraph"/>
        <w:numPr>
          <w:ilvl w:val="0"/>
          <w:numId w:val="14"/>
        </w:numPr>
        <w:spacing w:after="0" w:line="240" w:lineRule="auto"/>
        <w:rPr>
          <w:rFonts w:ascii="Arial" w:hAnsi="Arial" w:cs="Arial"/>
        </w:rPr>
      </w:pPr>
      <w:r w:rsidRPr="006669BB">
        <w:rPr>
          <w:rFonts w:ascii="Arial" w:hAnsi="Arial" w:cs="Arial"/>
        </w:rPr>
        <w:t>CQ2 supports loading, renaming, and deleting previous queries.</w:t>
      </w:r>
    </w:p>
    <w:p w:rsidR="00EE4E41" w:rsidRPr="006669BB" w:rsidRDefault="00EE4E41" w:rsidP="006669BB">
      <w:pPr>
        <w:pStyle w:val="ListParagraph"/>
        <w:numPr>
          <w:ilvl w:val="0"/>
          <w:numId w:val="14"/>
        </w:numPr>
        <w:spacing w:after="0" w:line="240" w:lineRule="auto"/>
        <w:rPr>
          <w:rFonts w:ascii="Arial" w:hAnsi="Arial" w:cs="Arial"/>
        </w:rPr>
      </w:pPr>
      <w:r>
        <w:rPr>
          <w:rFonts w:ascii="Arial" w:hAnsi="Arial" w:cs="Arial"/>
        </w:rPr>
        <w:t>CQ2 obfuscates query results depending on the user’s role(s). However, unlike i2b2, CQ2 does not lockout accounts if the user runs queries that return the same result multiple times. We plan to add this feature in the future.</w:t>
      </w:r>
    </w:p>
    <w:p w:rsidR="005F688B" w:rsidRDefault="005F688B" w:rsidP="006669BB">
      <w:pPr>
        <w:pStyle w:val="ListParagraph"/>
        <w:numPr>
          <w:ilvl w:val="0"/>
          <w:numId w:val="14"/>
        </w:numPr>
        <w:spacing w:after="0" w:line="240" w:lineRule="auto"/>
        <w:rPr>
          <w:rFonts w:ascii="Arial" w:hAnsi="Arial" w:cs="Arial"/>
        </w:rPr>
      </w:pPr>
      <w:r w:rsidRPr="006669BB">
        <w:rPr>
          <w:rFonts w:ascii="Arial" w:hAnsi="Arial" w:cs="Arial"/>
        </w:rPr>
        <w:t>CQ2 supports all query types,</w:t>
      </w:r>
      <w:r w:rsidR="006669BB" w:rsidRPr="006669BB">
        <w:rPr>
          <w:rFonts w:ascii="Arial" w:hAnsi="Arial" w:cs="Arial"/>
        </w:rPr>
        <w:t xml:space="preserve"> with the following exceptions:</w:t>
      </w:r>
    </w:p>
    <w:p w:rsidR="006669BB" w:rsidRDefault="006669BB" w:rsidP="006669BB">
      <w:pPr>
        <w:pStyle w:val="ListParagraph"/>
        <w:numPr>
          <w:ilvl w:val="1"/>
          <w:numId w:val="14"/>
        </w:numPr>
        <w:spacing w:after="0" w:line="240" w:lineRule="auto"/>
        <w:rPr>
          <w:rFonts w:ascii="Arial" w:hAnsi="Arial" w:cs="Arial"/>
        </w:rPr>
      </w:pPr>
      <w:r>
        <w:rPr>
          <w:rFonts w:ascii="Arial" w:hAnsi="Arial" w:cs="Arial"/>
        </w:rPr>
        <w:t>CQ2 currently does not have Full-Text search setup to query the OBSERVATION_BLOB field. This is used in i2b2 to search notes and other types of data. We will probably add this feature in the future. (We have not yet had a use case for it.)</w:t>
      </w:r>
    </w:p>
    <w:p w:rsidR="006669BB" w:rsidRDefault="006669BB" w:rsidP="006669BB">
      <w:pPr>
        <w:pStyle w:val="ListParagraph"/>
        <w:numPr>
          <w:ilvl w:val="1"/>
          <w:numId w:val="14"/>
        </w:numPr>
        <w:spacing w:after="0" w:line="240" w:lineRule="auto"/>
        <w:rPr>
          <w:rFonts w:ascii="Arial" w:hAnsi="Arial" w:cs="Arial"/>
        </w:rPr>
      </w:pPr>
      <w:r>
        <w:rPr>
          <w:rFonts w:ascii="Arial" w:hAnsi="Arial" w:cs="Arial"/>
        </w:rPr>
        <w:t>CQ2 supports nested queries (a previous query used as a “concept” in a new query) and temporal queries. However, it does not recognize the temporal constraints of nested previous queries. In other words, if a previous temporal query is used in a new query, then just the “population in which events occur” of the previous query, without the temporal constraints, are used to determine the list of matching patients. We might fix this in the future, but it is unclear how often users actually need nested temporal queries.</w:t>
      </w:r>
    </w:p>
    <w:p w:rsidR="006669BB" w:rsidRDefault="00EA41F2" w:rsidP="006669BB">
      <w:pPr>
        <w:pStyle w:val="ListParagraph"/>
        <w:numPr>
          <w:ilvl w:val="1"/>
          <w:numId w:val="14"/>
        </w:numPr>
        <w:spacing w:after="0" w:line="240" w:lineRule="auto"/>
        <w:rPr>
          <w:rFonts w:ascii="Arial" w:hAnsi="Arial" w:cs="Arial"/>
        </w:rPr>
      </w:pPr>
      <w:r>
        <w:rPr>
          <w:rFonts w:ascii="Arial" w:hAnsi="Arial" w:cs="Arial"/>
        </w:rPr>
        <w:t>In CQ2, a patient set or an encounter set can be included in a query. However, individual patients or encounters cannot be used. We might add this feature if there is need.</w:t>
      </w:r>
    </w:p>
    <w:p w:rsidR="00EA41F2" w:rsidRDefault="00EA41F2" w:rsidP="006669BB">
      <w:pPr>
        <w:pStyle w:val="ListParagraph"/>
        <w:numPr>
          <w:ilvl w:val="1"/>
          <w:numId w:val="14"/>
        </w:numPr>
        <w:spacing w:after="0" w:line="240" w:lineRule="auto"/>
        <w:rPr>
          <w:rFonts w:ascii="Arial" w:hAnsi="Arial" w:cs="Arial"/>
        </w:rPr>
      </w:pPr>
      <w:r>
        <w:rPr>
          <w:rFonts w:ascii="Arial" w:hAnsi="Arial" w:cs="Arial"/>
        </w:rPr>
        <w:t>i2b2 supports server-side Java based CRC plugins to handle special types of queries. Because CQ2 does not have a Java application layer, these plugins cannot be used. The equivalent in CQ2 would be an extra stored procedure, but we have not tried this.</w:t>
      </w:r>
    </w:p>
    <w:p w:rsidR="00EA41F2" w:rsidRDefault="00EA41F2" w:rsidP="00EE4E41">
      <w:pPr>
        <w:pStyle w:val="ListParagraph"/>
        <w:numPr>
          <w:ilvl w:val="0"/>
          <w:numId w:val="14"/>
        </w:numPr>
        <w:spacing w:after="0" w:line="240" w:lineRule="auto"/>
        <w:rPr>
          <w:rFonts w:ascii="Arial" w:hAnsi="Arial" w:cs="Arial"/>
        </w:rPr>
      </w:pPr>
      <w:r>
        <w:rPr>
          <w:rFonts w:ascii="Arial" w:hAnsi="Arial" w:cs="Arial"/>
        </w:rPr>
        <w:t xml:space="preserve">In CQ2, a query with only “Exclude” groups and no “Include” groups returns zero patients. </w:t>
      </w:r>
      <w:r w:rsidR="00EE4E41">
        <w:rPr>
          <w:rFonts w:ascii="Arial" w:hAnsi="Arial" w:cs="Arial"/>
        </w:rPr>
        <w:t>This is different than i2b2, which assumes the user means to start with all patients. We plan to change the logic in CQ2 to match i2b2 in the future.</w:t>
      </w:r>
    </w:p>
    <w:p w:rsidR="00EA41F2" w:rsidRDefault="00EA41F2" w:rsidP="00EA41F2">
      <w:pPr>
        <w:pStyle w:val="ListParagraph"/>
        <w:numPr>
          <w:ilvl w:val="0"/>
          <w:numId w:val="14"/>
        </w:numPr>
        <w:spacing w:after="0" w:line="240" w:lineRule="auto"/>
        <w:rPr>
          <w:rFonts w:ascii="Arial" w:hAnsi="Arial" w:cs="Arial"/>
        </w:rPr>
      </w:pPr>
      <w:r>
        <w:rPr>
          <w:rFonts w:ascii="Arial" w:hAnsi="Arial" w:cs="Arial"/>
        </w:rPr>
        <w:t xml:space="preserve">CQ2 handles ontology-based query breakdowns the same as i2b2. However, custom breakdown SQL should be placed in the </w:t>
      </w:r>
      <w:proofErr w:type="spellStart"/>
      <w:r>
        <w:rPr>
          <w:rFonts w:ascii="Arial" w:hAnsi="Arial" w:cs="Arial"/>
        </w:rPr>
        <w:t>CRC.uspRunQueryInstanceBreakdown</w:t>
      </w:r>
      <w:proofErr w:type="spellEnd"/>
      <w:r>
        <w:rPr>
          <w:rFonts w:ascii="Arial" w:hAnsi="Arial" w:cs="Arial"/>
        </w:rPr>
        <w:t xml:space="preserve"> procedure, </w:t>
      </w:r>
      <w:r>
        <w:rPr>
          <w:rFonts w:ascii="Arial" w:hAnsi="Arial" w:cs="Arial"/>
        </w:rPr>
        <w:lastRenderedPageBreak/>
        <w:t>rather than the CRC.QT_BREAKDOWN_PATH table. We plan to add support for SQL in that table in the future.</w:t>
      </w:r>
    </w:p>
    <w:p w:rsidR="00EE4E41" w:rsidRDefault="00EE4E41" w:rsidP="00EA41F2">
      <w:pPr>
        <w:pStyle w:val="ListParagraph"/>
        <w:numPr>
          <w:ilvl w:val="0"/>
          <w:numId w:val="14"/>
        </w:numPr>
        <w:spacing w:after="0" w:line="240" w:lineRule="auto"/>
        <w:rPr>
          <w:rFonts w:ascii="Arial" w:hAnsi="Arial" w:cs="Arial"/>
        </w:rPr>
      </w:pPr>
      <w:r>
        <w:rPr>
          <w:rFonts w:ascii="Arial" w:hAnsi="Arial" w:cs="Arial"/>
        </w:rPr>
        <w:t>CQ2 does not support multiple fact tables in the same way as i2b2, which can reference specific fact tables from the ontology. Instead, we typically create a view named OBSERVATION_FACT, which combines multiple fact tables. We</w:t>
      </w:r>
      <w:r w:rsidR="00EF006F">
        <w:rPr>
          <w:rFonts w:ascii="Arial" w:hAnsi="Arial" w:cs="Arial"/>
        </w:rPr>
        <w:t xml:space="preserve"> might add this feature in the future.</w:t>
      </w:r>
    </w:p>
    <w:p w:rsidR="00EF006F" w:rsidRDefault="00EF006F" w:rsidP="00EA41F2">
      <w:pPr>
        <w:pStyle w:val="ListParagraph"/>
        <w:numPr>
          <w:ilvl w:val="0"/>
          <w:numId w:val="14"/>
        </w:numPr>
        <w:spacing w:after="0" w:line="240" w:lineRule="auto"/>
        <w:rPr>
          <w:rFonts w:ascii="Arial" w:hAnsi="Arial" w:cs="Arial"/>
        </w:rPr>
      </w:pPr>
      <w:r>
        <w:rPr>
          <w:rFonts w:ascii="Arial" w:hAnsi="Arial" w:cs="Arial"/>
        </w:rPr>
        <w:t>CQ2 does not queue queries like i2b2. We have a design on how to implement a similar feature in CQ2. However, queries in CQ2 are generally fast enough that they can be processed as soon as they are received. Thus, we have not yet had a need to implement query queues.</w:t>
      </w:r>
    </w:p>
    <w:p w:rsidR="00EA41F2" w:rsidRDefault="00EA41F2" w:rsidP="00EA41F2">
      <w:pPr>
        <w:pStyle w:val="ListParagraph"/>
        <w:numPr>
          <w:ilvl w:val="0"/>
          <w:numId w:val="14"/>
        </w:numPr>
        <w:spacing w:after="0" w:line="240" w:lineRule="auto"/>
        <w:rPr>
          <w:rFonts w:ascii="Arial" w:hAnsi="Arial" w:cs="Arial"/>
        </w:rPr>
      </w:pPr>
      <w:r>
        <w:rPr>
          <w:rFonts w:ascii="Arial" w:hAnsi="Arial" w:cs="Arial"/>
        </w:rPr>
        <w:t>CQ2 has an optimized query engine that leverages pre-computed aggregate tables and probabilistic sketches. This functionality does not exist in i2b2.</w:t>
      </w:r>
    </w:p>
    <w:p w:rsidR="00EF006F" w:rsidRDefault="00EF006F" w:rsidP="00EF006F">
      <w:pPr>
        <w:spacing w:after="0" w:line="240" w:lineRule="auto"/>
        <w:rPr>
          <w:rFonts w:ascii="Arial" w:hAnsi="Arial" w:cs="Arial"/>
        </w:rPr>
      </w:pPr>
    </w:p>
    <w:p w:rsidR="00EF006F" w:rsidRPr="00EF006F" w:rsidRDefault="00EF006F" w:rsidP="00EF006F">
      <w:pPr>
        <w:spacing w:after="0" w:line="240" w:lineRule="auto"/>
        <w:rPr>
          <w:rFonts w:ascii="Arial" w:hAnsi="Arial" w:cs="Arial"/>
        </w:rPr>
      </w:pPr>
    </w:p>
    <w:p w:rsidR="006A364E" w:rsidRDefault="006A364E">
      <w:pPr>
        <w:rPr>
          <w:rFonts w:ascii="Arial" w:eastAsiaTheme="majorEastAsia" w:hAnsi="Arial" w:cstheme="majorBidi"/>
          <w:b/>
          <w:color w:val="2E74B5" w:themeColor="accent1" w:themeShade="BF"/>
          <w:sz w:val="36"/>
          <w:szCs w:val="32"/>
        </w:rPr>
      </w:pPr>
      <w:r>
        <w:br w:type="page"/>
      </w:r>
    </w:p>
    <w:p w:rsidR="009F0D0C" w:rsidRPr="00F33923" w:rsidRDefault="00186B18" w:rsidP="00F33923">
      <w:pPr>
        <w:pStyle w:val="Heading1"/>
      </w:pPr>
      <w:bookmarkStart w:id="14" w:name="_Toc34172841"/>
      <w:r>
        <w:lastRenderedPageBreak/>
        <w:t>Version History</w:t>
      </w:r>
      <w:bookmarkEnd w:id="14"/>
    </w:p>
    <w:p w:rsidR="00F33923" w:rsidRDefault="00F33923" w:rsidP="007E06DF">
      <w:pPr>
        <w:spacing w:after="0" w:line="240" w:lineRule="auto"/>
        <w:rPr>
          <w:rFonts w:ascii="Arial" w:hAnsi="Arial" w:cs="Arial"/>
        </w:rPr>
      </w:pPr>
    </w:p>
    <w:p w:rsidR="00186B18" w:rsidRPr="00186B18" w:rsidRDefault="00186B18" w:rsidP="007E06DF">
      <w:pPr>
        <w:spacing w:after="0" w:line="240" w:lineRule="auto"/>
        <w:rPr>
          <w:rFonts w:ascii="Arial" w:hAnsi="Arial" w:cs="Arial"/>
          <w:u w:val="single"/>
        </w:rPr>
      </w:pPr>
      <w:r w:rsidRPr="00186B18">
        <w:rPr>
          <w:rFonts w:ascii="Arial" w:hAnsi="Arial" w:cs="Arial"/>
          <w:u w:val="single"/>
        </w:rPr>
        <w:t>Pre-Release</w:t>
      </w:r>
      <w:r>
        <w:rPr>
          <w:rFonts w:ascii="Arial" w:hAnsi="Arial" w:cs="Arial"/>
          <w:u w:val="single"/>
        </w:rPr>
        <w:t xml:space="preserve"> Timeline</w:t>
      </w:r>
    </w:p>
    <w:p w:rsidR="00186B18" w:rsidRPr="00186B18" w:rsidRDefault="00186B18" w:rsidP="00186B18">
      <w:pPr>
        <w:pStyle w:val="ListParagraph"/>
        <w:numPr>
          <w:ilvl w:val="0"/>
          <w:numId w:val="13"/>
        </w:numPr>
        <w:spacing w:after="0" w:line="240" w:lineRule="auto"/>
        <w:jc w:val="both"/>
        <w:rPr>
          <w:rFonts w:ascii="Arial" w:hAnsi="Arial" w:cs="Arial"/>
        </w:rPr>
      </w:pPr>
      <w:r w:rsidRPr="00186B18">
        <w:rPr>
          <w:rFonts w:ascii="Arial" w:hAnsi="Arial" w:cs="Arial"/>
        </w:rPr>
        <w:t>2007 – i2b2 web client created as an alternative to the i2b2 Workbench</w:t>
      </w:r>
    </w:p>
    <w:p w:rsidR="00AE3BA2" w:rsidRPr="00186B18" w:rsidRDefault="00186B18" w:rsidP="00186B18">
      <w:pPr>
        <w:pStyle w:val="ListParagraph"/>
        <w:numPr>
          <w:ilvl w:val="0"/>
          <w:numId w:val="13"/>
        </w:numPr>
        <w:spacing w:after="0" w:line="240" w:lineRule="auto"/>
        <w:jc w:val="both"/>
        <w:rPr>
          <w:rFonts w:ascii="Arial" w:hAnsi="Arial" w:cs="Arial"/>
        </w:rPr>
      </w:pPr>
      <w:r w:rsidRPr="00186B18">
        <w:rPr>
          <w:rFonts w:ascii="Arial" w:hAnsi="Arial" w:cs="Arial"/>
        </w:rPr>
        <w:t>2008 – Initial prototype of CQ2 as an alternative to the i2b2 application layer</w:t>
      </w:r>
    </w:p>
    <w:p w:rsidR="00186B18" w:rsidRPr="00186B18" w:rsidRDefault="00186B18" w:rsidP="00186B18">
      <w:pPr>
        <w:pStyle w:val="ListParagraph"/>
        <w:numPr>
          <w:ilvl w:val="0"/>
          <w:numId w:val="13"/>
        </w:numPr>
        <w:spacing w:after="0" w:line="240" w:lineRule="auto"/>
        <w:jc w:val="both"/>
        <w:rPr>
          <w:rFonts w:ascii="Arial" w:hAnsi="Arial" w:cs="Arial"/>
        </w:rPr>
      </w:pPr>
      <w:r w:rsidRPr="00186B18">
        <w:rPr>
          <w:rFonts w:ascii="Arial" w:hAnsi="Arial" w:cs="Arial"/>
        </w:rPr>
        <w:t>2012 – First production instance of CQ2 at BIDMC</w:t>
      </w:r>
    </w:p>
    <w:p w:rsidR="00186B18" w:rsidRPr="00186B18" w:rsidRDefault="00186B18" w:rsidP="00186B18">
      <w:pPr>
        <w:pStyle w:val="ListParagraph"/>
        <w:numPr>
          <w:ilvl w:val="0"/>
          <w:numId w:val="13"/>
        </w:numPr>
        <w:spacing w:after="0" w:line="240" w:lineRule="auto"/>
        <w:jc w:val="both"/>
        <w:rPr>
          <w:rFonts w:ascii="Arial" w:hAnsi="Arial" w:cs="Arial"/>
        </w:rPr>
      </w:pPr>
      <w:r w:rsidRPr="00186B18">
        <w:rPr>
          <w:rFonts w:ascii="Arial" w:hAnsi="Arial" w:cs="Arial"/>
        </w:rPr>
        <w:t>2019 – Addition of sketches to improve query performance</w:t>
      </w:r>
    </w:p>
    <w:p w:rsidR="00186B18" w:rsidRDefault="00186B18" w:rsidP="00AE3BA2">
      <w:pPr>
        <w:spacing w:after="0" w:line="240" w:lineRule="auto"/>
        <w:jc w:val="both"/>
        <w:rPr>
          <w:rFonts w:ascii="Arial" w:hAnsi="Arial" w:cs="Arial"/>
        </w:rPr>
      </w:pPr>
    </w:p>
    <w:p w:rsidR="00186B18" w:rsidRPr="00186B18" w:rsidRDefault="00186B18" w:rsidP="00AE3BA2">
      <w:pPr>
        <w:spacing w:after="0" w:line="240" w:lineRule="auto"/>
        <w:jc w:val="both"/>
        <w:rPr>
          <w:rFonts w:ascii="Arial" w:hAnsi="Arial" w:cs="Arial"/>
          <w:u w:val="single"/>
        </w:rPr>
      </w:pPr>
      <w:r w:rsidRPr="00186B18">
        <w:rPr>
          <w:rFonts w:ascii="Arial" w:hAnsi="Arial" w:cs="Arial"/>
          <w:u w:val="single"/>
        </w:rPr>
        <w:t>Version 1.0.0</w:t>
      </w:r>
      <w:r>
        <w:rPr>
          <w:rFonts w:ascii="Arial" w:hAnsi="Arial" w:cs="Arial"/>
          <w:u w:val="single"/>
        </w:rPr>
        <w:t xml:space="preserve"> (March 1, 2020)</w:t>
      </w:r>
    </w:p>
    <w:p w:rsidR="00186B18" w:rsidRDefault="00186B18" w:rsidP="00186B18">
      <w:pPr>
        <w:pStyle w:val="ListParagraph"/>
        <w:numPr>
          <w:ilvl w:val="0"/>
          <w:numId w:val="12"/>
        </w:numPr>
        <w:spacing w:after="0" w:line="240" w:lineRule="auto"/>
        <w:jc w:val="both"/>
        <w:rPr>
          <w:rFonts w:ascii="Arial" w:hAnsi="Arial" w:cs="Arial"/>
        </w:rPr>
      </w:pPr>
      <w:r w:rsidRPr="00186B18">
        <w:rPr>
          <w:rFonts w:ascii="Arial" w:hAnsi="Arial" w:cs="Arial"/>
        </w:rPr>
        <w:t xml:space="preserve">Released under </w:t>
      </w:r>
      <w:r w:rsidR="008C4700">
        <w:rPr>
          <w:rFonts w:ascii="Arial" w:hAnsi="Arial" w:cs="Arial"/>
        </w:rPr>
        <w:t xml:space="preserve">a </w:t>
      </w:r>
      <w:r w:rsidRPr="00186B18">
        <w:rPr>
          <w:rFonts w:ascii="Arial" w:hAnsi="Arial" w:cs="Arial"/>
        </w:rPr>
        <w:t>free academic license</w:t>
      </w:r>
    </w:p>
    <w:p w:rsidR="00006F25" w:rsidRPr="00006F25" w:rsidRDefault="00006F25" w:rsidP="00006F25">
      <w:pPr>
        <w:spacing w:after="0" w:line="240" w:lineRule="auto"/>
        <w:jc w:val="both"/>
        <w:rPr>
          <w:rFonts w:ascii="Arial" w:hAnsi="Arial" w:cs="Arial"/>
        </w:rPr>
      </w:pPr>
    </w:p>
    <w:p w:rsidR="00006F25" w:rsidRPr="00186B18" w:rsidRDefault="00006F25" w:rsidP="00006F25">
      <w:pPr>
        <w:spacing w:after="0" w:line="240" w:lineRule="auto"/>
        <w:jc w:val="both"/>
        <w:rPr>
          <w:rFonts w:ascii="Arial" w:hAnsi="Arial" w:cs="Arial"/>
          <w:u w:val="single"/>
        </w:rPr>
      </w:pPr>
      <w:r w:rsidRPr="00186B18">
        <w:rPr>
          <w:rFonts w:ascii="Arial" w:hAnsi="Arial" w:cs="Arial"/>
          <w:u w:val="single"/>
        </w:rPr>
        <w:t>Version 1.0.</w:t>
      </w:r>
      <w:r>
        <w:rPr>
          <w:rFonts w:ascii="Arial" w:hAnsi="Arial" w:cs="Arial"/>
          <w:u w:val="single"/>
        </w:rPr>
        <w:t xml:space="preserve">1 (September </w:t>
      </w:r>
      <w:r w:rsidR="00160673">
        <w:rPr>
          <w:rFonts w:ascii="Arial" w:hAnsi="Arial" w:cs="Arial"/>
          <w:u w:val="single"/>
        </w:rPr>
        <w:t>24</w:t>
      </w:r>
      <w:r>
        <w:rPr>
          <w:rFonts w:ascii="Arial" w:hAnsi="Arial" w:cs="Arial"/>
          <w:u w:val="single"/>
        </w:rPr>
        <w:t>, 2021)</w:t>
      </w:r>
    </w:p>
    <w:p w:rsidR="00006F25" w:rsidRDefault="00006F25" w:rsidP="00006F25">
      <w:pPr>
        <w:pStyle w:val="ListParagraph"/>
        <w:numPr>
          <w:ilvl w:val="0"/>
          <w:numId w:val="12"/>
        </w:numPr>
        <w:spacing w:after="0" w:line="240" w:lineRule="auto"/>
        <w:jc w:val="both"/>
        <w:rPr>
          <w:rFonts w:ascii="Arial" w:hAnsi="Arial" w:cs="Arial"/>
        </w:rPr>
      </w:pPr>
      <w:r>
        <w:rPr>
          <w:rFonts w:ascii="Arial" w:hAnsi="Arial" w:cs="Arial"/>
        </w:rPr>
        <w:t>PHP webservice support added</w:t>
      </w:r>
    </w:p>
    <w:p w:rsidR="00186B18" w:rsidRDefault="00186B18" w:rsidP="00AE3BA2">
      <w:pPr>
        <w:spacing w:after="0" w:line="240" w:lineRule="auto"/>
        <w:jc w:val="both"/>
        <w:rPr>
          <w:rFonts w:ascii="Arial" w:hAnsi="Arial" w:cs="Arial"/>
        </w:rPr>
      </w:pPr>
    </w:p>
    <w:p w:rsidR="00186B18" w:rsidRPr="00F33923" w:rsidRDefault="00186B18" w:rsidP="00AE3BA2">
      <w:pPr>
        <w:spacing w:after="0" w:line="240" w:lineRule="auto"/>
        <w:jc w:val="both"/>
        <w:rPr>
          <w:rFonts w:ascii="Arial" w:hAnsi="Arial" w:cs="Arial"/>
        </w:rPr>
      </w:pPr>
      <w:bookmarkStart w:id="15" w:name="_GoBack"/>
      <w:bookmarkEnd w:id="15"/>
    </w:p>
    <w:sectPr w:rsidR="00186B18" w:rsidRPr="00F33923" w:rsidSect="00A4373A">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4E53"/>
    <w:multiLevelType w:val="hybridMultilevel"/>
    <w:tmpl w:val="0CE28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A1B97"/>
    <w:multiLevelType w:val="hybridMultilevel"/>
    <w:tmpl w:val="4E6C1A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6F07F5B"/>
    <w:multiLevelType w:val="hybridMultilevel"/>
    <w:tmpl w:val="290C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04E12"/>
    <w:multiLevelType w:val="hybridMultilevel"/>
    <w:tmpl w:val="8BACE7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4223A"/>
    <w:multiLevelType w:val="hybridMultilevel"/>
    <w:tmpl w:val="8C40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C1DA1"/>
    <w:multiLevelType w:val="hybridMultilevel"/>
    <w:tmpl w:val="9EEA12E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41C62C2"/>
    <w:multiLevelType w:val="hybridMultilevel"/>
    <w:tmpl w:val="0450D75E"/>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422E317F"/>
    <w:multiLevelType w:val="hybridMultilevel"/>
    <w:tmpl w:val="08586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E64BB1"/>
    <w:multiLevelType w:val="hybridMultilevel"/>
    <w:tmpl w:val="22661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B30A4A"/>
    <w:multiLevelType w:val="hybridMultilevel"/>
    <w:tmpl w:val="D6647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726B7C"/>
    <w:multiLevelType w:val="hybridMultilevel"/>
    <w:tmpl w:val="A21CB8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507786"/>
    <w:multiLevelType w:val="hybridMultilevel"/>
    <w:tmpl w:val="507C0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D30D34"/>
    <w:multiLevelType w:val="hybridMultilevel"/>
    <w:tmpl w:val="69127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E10FAF"/>
    <w:multiLevelType w:val="hybridMultilevel"/>
    <w:tmpl w:val="DB68DE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73083F96"/>
    <w:multiLevelType w:val="hybridMultilevel"/>
    <w:tmpl w:val="29285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926EE3"/>
    <w:multiLevelType w:val="hybridMultilevel"/>
    <w:tmpl w:val="B67C5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552C94"/>
    <w:multiLevelType w:val="hybridMultilevel"/>
    <w:tmpl w:val="0B5E7A3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595340"/>
    <w:multiLevelType w:val="hybridMultilevel"/>
    <w:tmpl w:val="EAB49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3"/>
  </w:num>
  <w:num w:numId="4">
    <w:abstractNumId w:val="17"/>
  </w:num>
  <w:num w:numId="5">
    <w:abstractNumId w:val="1"/>
  </w:num>
  <w:num w:numId="6">
    <w:abstractNumId w:val="7"/>
  </w:num>
  <w:num w:numId="7">
    <w:abstractNumId w:val="10"/>
  </w:num>
  <w:num w:numId="8">
    <w:abstractNumId w:val="9"/>
  </w:num>
  <w:num w:numId="9">
    <w:abstractNumId w:val="12"/>
  </w:num>
  <w:num w:numId="10">
    <w:abstractNumId w:val="0"/>
  </w:num>
  <w:num w:numId="11">
    <w:abstractNumId w:val="4"/>
  </w:num>
  <w:num w:numId="12">
    <w:abstractNumId w:val="14"/>
  </w:num>
  <w:num w:numId="13">
    <w:abstractNumId w:val="8"/>
  </w:num>
  <w:num w:numId="14">
    <w:abstractNumId w:val="15"/>
  </w:num>
  <w:num w:numId="15">
    <w:abstractNumId w:val="2"/>
  </w:num>
  <w:num w:numId="16">
    <w:abstractNumId w:val="13"/>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6DF"/>
    <w:rsid w:val="00006F25"/>
    <w:rsid w:val="00024E43"/>
    <w:rsid w:val="0005798C"/>
    <w:rsid w:val="0014027C"/>
    <w:rsid w:val="00145385"/>
    <w:rsid w:val="00147105"/>
    <w:rsid w:val="00160673"/>
    <w:rsid w:val="00164DFB"/>
    <w:rsid w:val="00166F7C"/>
    <w:rsid w:val="001739D9"/>
    <w:rsid w:val="00186B18"/>
    <w:rsid w:val="001C00F6"/>
    <w:rsid w:val="001D054D"/>
    <w:rsid w:val="00263241"/>
    <w:rsid w:val="00263D39"/>
    <w:rsid w:val="00264557"/>
    <w:rsid w:val="002D689B"/>
    <w:rsid w:val="002F0D63"/>
    <w:rsid w:val="00364A9A"/>
    <w:rsid w:val="00387A6B"/>
    <w:rsid w:val="003C1088"/>
    <w:rsid w:val="003C691A"/>
    <w:rsid w:val="00410A2B"/>
    <w:rsid w:val="00412AF1"/>
    <w:rsid w:val="00417C08"/>
    <w:rsid w:val="004476E5"/>
    <w:rsid w:val="004971D6"/>
    <w:rsid w:val="004B36B4"/>
    <w:rsid w:val="00590ADC"/>
    <w:rsid w:val="005F4A9D"/>
    <w:rsid w:val="005F688B"/>
    <w:rsid w:val="006669BB"/>
    <w:rsid w:val="006A364E"/>
    <w:rsid w:val="006E3AA3"/>
    <w:rsid w:val="00704A05"/>
    <w:rsid w:val="00732A5E"/>
    <w:rsid w:val="007368FB"/>
    <w:rsid w:val="00750BFB"/>
    <w:rsid w:val="007807F6"/>
    <w:rsid w:val="00793277"/>
    <w:rsid w:val="007A0516"/>
    <w:rsid w:val="007D4EE0"/>
    <w:rsid w:val="007E06DF"/>
    <w:rsid w:val="007F719F"/>
    <w:rsid w:val="0081222A"/>
    <w:rsid w:val="00863CA0"/>
    <w:rsid w:val="008A6220"/>
    <w:rsid w:val="008C4700"/>
    <w:rsid w:val="009531EF"/>
    <w:rsid w:val="00977899"/>
    <w:rsid w:val="00983D34"/>
    <w:rsid w:val="009B4866"/>
    <w:rsid w:val="009F0D0C"/>
    <w:rsid w:val="009F5995"/>
    <w:rsid w:val="00A034DA"/>
    <w:rsid w:val="00A15544"/>
    <w:rsid w:val="00A4267F"/>
    <w:rsid w:val="00A4373A"/>
    <w:rsid w:val="00A54E06"/>
    <w:rsid w:val="00A75564"/>
    <w:rsid w:val="00AB5722"/>
    <w:rsid w:val="00AD09F8"/>
    <w:rsid w:val="00AE3BA2"/>
    <w:rsid w:val="00BA23EB"/>
    <w:rsid w:val="00BB1A30"/>
    <w:rsid w:val="00CB4DEA"/>
    <w:rsid w:val="00D90811"/>
    <w:rsid w:val="00DB148A"/>
    <w:rsid w:val="00DD2AAC"/>
    <w:rsid w:val="00E113EE"/>
    <w:rsid w:val="00E32FB3"/>
    <w:rsid w:val="00EA41F2"/>
    <w:rsid w:val="00ED3B08"/>
    <w:rsid w:val="00EE4C4B"/>
    <w:rsid w:val="00EE4E41"/>
    <w:rsid w:val="00EF006F"/>
    <w:rsid w:val="00F33923"/>
    <w:rsid w:val="00F478D1"/>
    <w:rsid w:val="00F761A1"/>
    <w:rsid w:val="00F92E4C"/>
    <w:rsid w:val="00FA0BD1"/>
    <w:rsid w:val="00FA3C1F"/>
    <w:rsid w:val="00FD2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985B"/>
  <w15:chartTrackingRefBased/>
  <w15:docId w15:val="{BE768CFA-EEFB-4A7A-8251-E5107123A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D39"/>
    <w:pPr>
      <w:keepNext/>
      <w:keepLines/>
      <w:spacing w:before="240" w:after="0"/>
      <w:outlineLvl w:val="0"/>
    </w:pPr>
    <w:rPr>
      <w:rFonts w:ascii="Arial" w:eastAsiaTheme="majorEastAsia" w:hAnsi="Arial"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263D39"/>
    <w:pPr>
      <w:keepNext/>
      <w:keepLines/>
      <w:spacing w:before="40" w:after="0"/>
      <w:outlineLvl w:val="1"/>
    </w:pPr>
    <w:rPr>
      <w:rFonts w:ascii="Arial" w:eastAsiaTheme="majorEastAsia" w:hAnsi="Arial" w:cstheme="majorBidi"/>
      <w:b/>
      <w:color w:val="1F4E79" w:themeColor="accent1" w:themeShade="80"/>
      <w:sz w:val="24"/>
      <w:szCs w:val="26"/>
    </w:rPr>
  </w:style>
  <w:style w:type="paragraph" w:styleId="Heading3">
    <w:name w:val="heading 3"/>
    <w:basedOn w:val="Normal"/>
    <w:next w:val="Normal"/>
    <w:link w:val="Heading3Char"/>
    <w:uiPriority w:val="9"/>
    <w:unhideWhenUsed/>
    <w:qFormat/>
    <w:rsid w:val="00A4373A"/>
    <w:pPr>
      <w:keepNext/>
      <w:keepLines/>
      <w:spacing w:before="40" w:after="0"/>
      <w:outlineLvl w:val="2"/>
    </w:pPr>
    <w:rPr>
      <w:rFonts w:ascii="Arial" w:eastAsiaTheme="majorEastAsia" w:hAnsi="Arial"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6DF"/>
    <w:pPr>
      <w:ind w:left="720"/>
      <w:contextualSpacing/>
    </w:pPr>
  </w:style>
  <w:style w:type="character" w:styleId="Hyperlink">
    <w:name w:val="Hyperlink"/>
    <w:basedOn w:val="DefaultParagraphFont"/>
    <w:uiPriority w:val="99"/>
    <w:unhideWhenUsed/>
    <w:rsid w:val="00A4267F"/>
    <w:rPr>
      <w:color w:val="0000FF"/>
      <w:u w:val="single"/>
    </w:rPr>
  </w:style>
  <w:style w:type="character" w:customStyle="1" w:styleId="Heading1Char">
    <w:name w:val="Heading 1 Char"/>
    <w:basedOn w:val="DefaultParagraphFont"/>
    <w:link w:val="Heading1"/>
    <w:uiPriority w:val="9"/>
    <w:rsid w:val="00263D39"/>
    <w:rPr>
      <w:rFonts w:ascii="Arial" w:eastAsiaTheme="majorEastAsia" w:hAnsi="Arial" w:cstheme="majorBidi"/>
      <w:b/>
      <w:color w:val="2E74B5" w:themeColor="accent1" w:themeShade="BF"/>
      <w:sz w:val="36"/>
      <w:szCs w:val="32"/>
    </w:rPr>
  </w:style>
  <w:style w:type="character" w:customStyle="1" w:styleId="Heading2Char">
    <w:name w:val="Heading 2 Char"/>
    <w:basedOn w:val="DefaultParagraphFont"/>
    <w:link w:val="Heading2"/>
    <w:uiPriority w:val="9"/>
    <w:rsid w:val="00263D39"/>
    <w:rPr>
      <w:rFonts w:ascii="Arial" w:eastAsiaTheme="majorEastAsia" w:hAnsi="Arial" w:cstheme="majorBidi"/>
      <w:b/>
      <w:color w:val="1F4E79" w:themeColor="accent1" w:themeShade="80"/>
      <w:sz w:val="24"/>
      <w:szCs w:val="26"/>
    </w:rPr>
  </w:style>
  <w:style w:type="character" w:customStyle="1" w:styleId="Heading3Char">
    <w:name w:val="Heading 3 Char"/>
    <w:basedOn w:val="DefaultParagraphFont"/>
    <w:link w:val="Heading3"/>
    <w:uiPriority w:val="9"/>
    <w:rsid w:val="00A4373A"/>
    <w:rPr>
      <w:rFonts w:ascii="Arial" w:eastAsiaTheme="majorEastAsia" w:hAnsi="Arial" w:cstheme="majorBidi"/>
      <w:b/>
      <w:color w:val="1F4D78" w:themeColor="accent1" w:themeShade="7F"/>
      <w:sz w:val="24"/>
      <w:szCs w:val="24"/>
    </w:rPr>
  </w:style>
  <w:style w:type="paragraph" w:styleId="TOCHeading">
    <w:name w:val="TOC Heading"/>
    <w:basedOn w:val="Heading1"/>
    <w:next w:val="Normal"/>
    <w:uiPriority w:val="39"/>
    <w:unhideWhenUsed/>
    <w:qFormat/>
    <w:rsid w:val="00263D39"/>
    <w:pPr>
      <w:outlineLvl w:val="9"/>
    </w:pPr>
    <w:rPr>
      <w:rFonts w:asciiTheme="majorHAnsi" w:hAnsiTheme="majorHAnsi"/>
      <w:b w:val="0"/>
      <w:sz w:val="32"/>
    </w:rPr>
  </w:style>
  <w:style w:type="paragraph" w:styleId="TOC1">
    <w:name w:val="toc 1"/>
    <w:basedOn w:val="Normal"/>
    <w:next w:val="Normal"/>
    <w:autoRedefine/>
    <w:uiPriority w:val="39"/>
    <w:unhideWhenUsed/>
    <w:rsid w:val="00263D39"/>
    <w:pPr>
      <w:spacing w:after="100"/>
    </w:pPr>
  </w:style>
  <w:style w:type="paragraph" w:styleId="TOC2">
    <w:name w:val="toc 2"/>
    <w:basedOn w:val="Normal"/>
    <w:next w:val="Normal"/>
    <w:autoRedefine/>
    <w:uiPriority w:val="39"/>
    <w:unhideWhenUsed/>
    <w:rsid w:val="00263D39"/>
    <w:pPr>
      <w:spacing w:after="100"/>
      <w:ind w:left="220"/>
    </w:pPr>
  </w:style>
  <w:style w:type="paragraph" w:styleId="TOC3">
    <w:name w:val="toc 3"/>
    <w:basedOn w:val="Normal"/>
    <w:next w:val="Normal"/>
    <w:autoRedefine/>
    <w:uiPriority w:val="39"/>
    <w:unhideWhenUsed/>
    <w:rsid w:val="00263D39"/>
    <w:pPr>
      <w:spacing w:after="100"/>
      <w:ind w:left="440"/>
    </w:pPr>
  </w:style>
  <w:style w:type="table" w:styleId="TableGrid">
    <w:name w:val="Table Grid"/>
    <w:basedOn w:val="TableNormal"/>
    <w:uiPriority w:val="39"/>
    <w:rsid w:val="00F33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www.i2b2.org/softwar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eber@hms.harvard.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DDA72-823F-44FA-BB3C-A97187DBF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14</Pages>
  <Words>4257</Words>
  <Characters>24266</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GWEBER</dc:creator>
  <cp:keywords/>
  <dc:description/>
  <cp:lastModifiedBy>Nicholas Brown</cp:lastModifiedBy>
  <cp:revision>39</cp:revision>
  <dcterms:created xsi:type="dcterms:W3CDTF">2020-02-29T23:56:00Z</dcterms:created>
  <dcterms:modified xsi:type="dcterms:W3CDTF">2021-09-24T13:37:00Z</dcterms:modified>
</cp:coreProperties>
</file>