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Corne Arcane OLED System — Design Audit Addendum</w:t>
      </w:r>
    </w:p>
    <w:p>
      <w:pPr>
        <w:pStyle w:val="Subtitle"/>
      </w:pPr>
      <w:r>
        <w:t>Simplifications, technical spikes, failure modes, and the revised spell-composition model</w:t>
      </w:r>
    </w:p>
    <w:p>
      <w:pPr>
        <w:spacing w:after="280"/>
      </w:pPr>
      <w:r>
        <w:rPr>
          <w:b/>
          <w:color w:val="5F6A74"/>
          <w:sz w:val="16"/>
        </w:rPr>
        <w:t>ADDENDUM 0.1 | 10 JULY 2026 | COMPANION TO THE ONE-PAGE VISION AND COMPREHENSIVE DESIGN</w:t>
      </w:r>
    </w:p>
    <w:p>
      <w:pPr>
        <w:pStyle w:val="Heading1"/>
      </w:pPr>
      <w:r>
        <w:t>Purpose and governing correction</w:t>
      </w:r>
    </w:p>
    <w:p>
      <w:r>
        <w:t>This addendum records the architectural audit without replacing the existing vision. It identifies which ideas should remain broad, which implementations should begin narrow, and which unknowns should be proven before substantial art or integration work begins.</w:t>
      </w:r>
    </w:p>
    <w:tbl>
      <w:tblPr>
        <w:tblW w:type="auto" w:w="0"/>
        <w:jc w:val="center"/>
        <w:tblLayout w:type="autofit"/>
        <w:tblLook w:firstColumn="1" w:firstRow="1" w:lastColumn="0" w:lastRow="0" w:noHBand="0" w:noVBand="1" w:val="04A0"/>
      </w:tblPr>
      <w:tblGrid>
        <w:gridCol w:w="9994"/>
      </w:tblGrid>
      <w:tr>
        <w:tc>
          <w:tcPr>
            <w:tcW w:type="dxa" w:w="9994"/>
            <w:shd w:fill="E9EEF2"/>
            <w:tcMar>
              <w:top w:w="120" w:type="dxa"/>
              <w:start w:w="140" w:type="dxa"/>
              <w:bottom w:w="120" w:type="dxa"/>
              <w:end w:w="140" w:type="dxa"/>
            </w:tcMar>
          </w:tcPr>
          <w:p>
            <w:pPr>
              <w:spacing w:after="60"/>
            </w:pPr>
            <w:r>
              <w:rPr>
                <w:b/>
                <w:color w:val="2D3C4A"/>
                <w:sz w:val="16"/>
              </w:rPr>
              <w:t>SPELL-SYSTEM CORRECTION</w:t>
            </w:r>
          </w:p>
          <w:p>
            <w:pPr>
              <w:spacing w:after="0" w:line="252" w:lineRule="auto"/>
            </w:pPr>
            <w:r>
              <w:t>The spell system should take inspiration from Noita-style composition: short ordered ingredients, modifiers, payloads, and interactions can produce surprising combinations. Full player-facing legibility is not a primary requirement. Each wizard may cast only one spell at a time, and the duel is an ambient background fixture rather than a game the user must study or master.</w:t>
            </w:r>
          </w:p>
        </w:tc>
      </w:tr>
    </w:tbl>
    <w:p>
      <w:r>
        <w:t>This changes the earlier audit in one important way. The recipe system does not need to make every result immediately decipherable. It still needs internal consistency, bounded state, and enough recurring structure that the animation feels causally tied to typing rather than purely random.</w:t>
      </w:r>
    </w:p>
    <w:p>
      <w:pPr>
        <w:pStyle w:val="Heading1"/>
      </w:pPr>
      <w:r>
        <w:t>What should remain unchanged</w:t>
      </w:r>
    </w:p>
    <w:p>
      <w:pPr>
        <w:ind w:left="317" w:hanging="202"/>
      </w:pPr>
      <w:r>
        <w:rPr>
          <w:b/>
        </w:rPr>
        <w:t xml:space="preserve">• </w:t>
      </w:r>
      <w:r>
        <w:t>Firmware owns a complete fallback world. Host software enriches it but is never required for the keyboard to remain coherent.</w:t>
      </w:r>
    </w:p>
    <w:p>
      <w:pPr>
        <w:ind w:left="317" w:hanging="202"/>
      </w:pPr>
      <w:r>
        <w:rPr>
          <w:b/>
        </w:rPr>
        <w:t xml:space="preserve">• </w:t>
      </w:r>
      <w:r>
        <w:t>The USB-connected master half is authoritative for shared simulation state. The offhand half renders synchronized state and never independently resolves combat outcomes.</w:t>
      </w:r>
    </w:p>
    <w:p>
      <w:pPr>
        <w:ind w:left="317" w:hanging="202"/>
      </w:pPr>
      <w:r>
        <w:rPr>
          <w:b/>
        </w:rPr>
        <w:t xml:space="preserve">• </w:t>
      </w:r>
      <w:r>
        <w:t>Keyboard output is never delayed, rewritten, or conditionally suppressed by display logic.</w:t>
      </w:r>
    </w:p>
    <w:p>
      <w:pPr>
        <w:ind w:left="317" w:hanging="202"/>
      </w:pPr>
      <w:r>
        <w:rPr>
          <w:b/>
        </w:rPr>
        <w:t xml:space="preserve">• </w:t>
      </w:r>
      <w:r>
        <w:t>The host sends semantic events and compact state, not continuous framebuffers.</w:t>
      </w:r>
    </w:p>
    <w:p>
      <w:pPr>
        <w:ind w:left="317" w:hanging="202"/>
      </w:pPr>
      <w:r>
        <w:rPr>
          <w:b/>
        </w:rPr>
        <w:t xml:space="preserve">• </w:t>
      </w:r>
      <w:r>
        <w:t>The layer-key chord opens a temporary in-world overlay while the underlying scene and simulation continue.</w:t>
      </w:r>
    </w:p>
    <w:p>
      <w:pPr>
        <w:ind w:left="317" w:hanging="202"/>
      </w:pPr>
      <w:r>
        <w:rPr>
          <w:b/>
        </w:rPr>
        <w:t xml:space="preserve">• </w:t>
      </w:r>
      <w:r>
        <w:t>Stable, animation, and host-OLED keymaps remain separate until the integration risks are understood.</w:t>
      </w:r>
    </w:p>
    <w:p>
      <w:pPr>
        <w:pStyle w:val="Heading1"/>
      </w:pPr>
      <w:r>
        <w:t>Revised spell-composition model</w:t>
      </w:r>
    </w:p>
    <w:p>
      <w:r>
        <w:t>The useful part of the Noita analogy is composition, not direct imitation. A spell should be assembled from a very small internal vocabulary whose order and modifiers can alter behavior. The system may be obscure to the user because it is ornamental, but it must remain cheap to simulate and easy to constrain.</w:t>
      </w:r>
    </w:p>
    <w:p>
      <w:pPr>
        <w:pStyle w:val="Heading2"/>
      </w:pPr>
      <w:r>
        <w:t>Recommended internal vocabulary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8E1E8"/>
          </w:tcPr>
          <w:p>
            <w:r>
              <w:t>Component</w:t>
            </w:r>
          </w:p>
        </w:tc>
        <w:tc>
          <w:tcPr>
            <w:tcW w:type="dxa" w:w="3331"/>
            <w:shd w:fill="D8E1E8"/>
          </w:tcPr>
          <w:p>
            <w:r>
              <w:t>Examples</w:t>
            </w:r>
          </w:p>
        </w:tc>
        <w:tc>
          <w:tcPr>
            <w:tcW w:type="dxa" w:w="3331"/>
            <w:shd w:fill="D8E1E8"/>
          </w:tcPr>
          <w:p>
            <w:r>
              <w:t>Purpose</w:t>
            </w:r>
          </w:p>
        </w:tc>
      </w:tr>
      <w:tr>
        <w:tc>
          <w:tcPr>
            <w:tcW w:type="dxa" w:w="3331"/>
            <w:tcMar>
              <w:top w:w="90" w:type="dxa"/>
              <w:start w:w="100" w:type="dxa"/>
              <w:bottom w:w="90" w:type="dxa"/>
              <w:end w:w="100" w:type="dxa"/>
            </w:tcMar>
          </w:tcPr>
          <w:p>
            <w:r>
              <w:t>Emitter</w:t>
            </w:r>
          </w:p>
        </w:tc>
        <w:tc>
          <w:tcPr>
            <w:tcW w:type="dxa" w:w="3331"/>
            <w:tcMar>
              <w:top w:w="90" w:type="dxa"/>
              <w:start w:w="100" w:type="dxa"/>
              <w:bottom w:w="90" w:type="dxa"/>
              <w:end w:w="100" w:type="dxa"/>
            </w:tcMar>
          </w:tcPr>
          <w:p>
            <w:r>
              <w:t>bolt, orb, beam, wave</w:t>
            </w:r>
          </w:p>
        </w:tc>
        <w:tc>
          <w:tcPr>
            <w:tcW w:type="dxa" w:w="3331"/>
            <w:tcMar>
              <w:top w:w="90" w:type="dxa"/>
              <w:start w:w="100" w:type="dxa"/>
              <w:bottom w:w="90" w:type="dxa"/>
              <w:end w:w="100" w:type="dxa"/>
            </w:tcMar>
          </w:tcPr>
          <w:p>
            <w:r>
              <w:t>Defines the visible carrier and baseline motion.</w:t>
            </w:r>
          </w:p>
        </w:tc>
      </w:tr>
      <w:tr>
        <w:tc>
          <w:tcPr>
            <w:tcW w:type="dxa" w:w="3331"/>
            <w:tcMar>
              <w:top w:w="90" w:type="dxa"/>
              <w:start w:w="100" w:type="dxa"/>
              <w:bottom w:w="90" w:type="dxa"/>
              <w:end w:w="100" w:type="dxa"/>
            </w:tcMar>
          </w:tcPr>
          <w:p>
            <w:r>
              <w:t>Element</w:t>
            </w:r>
          </w:p>
        </w:tc>
        <w:tc>
          <w:tcPr>
            <w:tcW w:type="dxa" w:w="3331"/>
            <w:tcMar>
              <w:top w:w="90" w:type="dxa"/>
              <w:start w:w="100" w:type="dxa"/>
              <w:bottom w:w="90" w:type="dxa"/>
              <w:end w:w="100" w:type="dxa"/>
            </w:tcMar>
          </w:tcPr>
          <w:p>
            <w:r>
              <w:t>force, ember, frost, ward, void</w:t>
            </w:r>
          </w:p>
        </w:tc>
        <w:tc>
          <w:tcPr>
            <w:tcW w:type="dxa" w:w="3331"/>
            <w:tcMar>
              <w:top w:w="90" w:type="dxa"/>
              <w:start w:w="100" w:type="dxa"/>
              <w:bottom w:w="90" w:type="dxa"/>
              <w:end w:w="100" w:type="dxa"/>
            </w:tcMar>
          </w:tcPr>
          <w:p>
            <w:r>
              <w:t>Defines palette pattern, impact behavior, and broad interaction tags.</w:t>
            </w:r>
          </w:p>
        </w:tc>
      </w:tr>
      <w:tr>
        <w:tc>
          <w:tcPr>
            <w:tcW w:type="dxa" w:w="3331"/>
            <w:tcMar>
              <w:top w:w="90" w:type="dxa"/>
              <w:start w:w="100" w:type="dxa"/>
              <w:bottom w:w="90" w:type="dxa"/>
              <w:end w:w="100" w:type="dxa"/>
            </w:tcMar>
          </w:tcPr>
          <w:p>
            <w:r>
              <w:t>Modifier</w:t>
            </w:r>
          </w:p>
        </w:tc>
        <w:tc>
          <w:tcPr>
            <w:tcW w:type="dxa" w:w="3331"/>
            <w:tcMar>
              <w:top w:w="90" w:type="dxa"/>
              <w:start w:w="100" w:type="dxa"/>
              <w:bottom w:w="90" w:type="dxa"/>
              <w:end w:w="100" w:type="dxa"/>
            </w:tcMar>
          </w:tcPr>
          <w:p>
            <w:r>
              <w:t>fast, heavy, split, delayed, seeking, unstable</w:t>
            </w:r>
          </w:p>
        </w:tc>
        <w:tc>
          <w:tcPr>
            <w:tcW w:type="dxa" w:w="3331"/>
            <w:tcMar>
              <w:top w:w="90" w:type="dxa"/>
              <w:start w:w="100" w:type="dxa"/>
              <w:bottom w:w="90" w:type="dxa"/>
              <w:end w:w="100" w:type="dxa"/>
            </w:tcMar>
          </w:tcPr>
          <w:p>
            <w:r>
              <w:t>Changes motion, duration, power, or presentation.</w:t>
            </w:r>
          </w:p>
        </w:tc>
      </w:tr>
      <w:tr>
        <w:tc>
          <w:tcPr>
            <w:tcW w:type="dxa" w:w="3331"/>
            <w:tcMar>
              <w:top w:w="90" w:type="dxa"/>
              <w:start w:w="100" w:type="dxa"/>
              <w:bottom w:w="90" w:type="dxa"/>
              <w:end w:w="100" w:type="dxa"/>
            </w:tcMar>
          </w:tcPr>
          <w:p>
            <w:r>
              <w:t>Payload</w:t>
            </w:r>
          </w:p>
        </w:tc>
        <w:tc>
          <w:tcPr>
            <w:tcW w:type="dxa" w:w="3331"/>
            <w:tcMar>
              <w:top w:w="90" w:type="dxa"/>
              <w:start w:w="100" w:type="dxa"/>
              <w:bottom w:w="90" w:type="dxa"/>
              <w:end w:w="100" w:type="dxa"/>
            </w:tcMar>
          </w:tcPr>
          <w:p>
            <w:r>
              <w:t>impact, shield, deflect, drain, heal, transform</w:t>
            </w:r>
          </w:p>
        </w:tc>
        <w:tc>
          <w:tcPr>
            <w:tcW w:type="dxa" w:w="3331"/>
            <w:tcMar>
              <w:top w:w="90" w:type="dxa"/>
              <w:start w:w="100" w:type="dxa"/>
              <w:bottom w:w="90" w:type="dxa"/>
              <w:end w:w="100" w:type="dxa"/>
            </w:tcMar>
          </w:tcPr>
          <w:p>
            <w:r>
              <w:t>Defines what happens at resolution.</w:t>
            </w:r>
          </w:p>
        </w:tc>
      </w:tr>
      <w:tr>
        <w:tc>
          <w:tcPr>
            <w:tcW w:type="dxa" w:w="3331"/>
            <w:tcMar>
              <w:top w:w="90" w:type="dxa"/>
              <w:start w:w="100" w:type="dxa"/>
              <w:bottom w:w="90" w:type="dxa"/>
              <w:end w:w="100" w:type="dxa"/>
            </w:tcMar>
          </w:tcPr>
          <w:p>
            <w:r>
              <w:t>Trigger</w:t>
            </w:r>
          </w:p>
        </w:tc>
        <w:tc>
          <w:tcPr>
            <w:tcW w:type="dxa" w:w="3331"/>
            <w:tcMar>
              <w:top w:w="90" w:type="dxa"/>
              <w:start w:w="100" w:type="dxa"/>
              <w:bottom w:w="90" w:type="dxa"/>
              <w:end w:w="100" w:type="dxa"/>
            </w:tcMar>
          </w:tcPr>
          <w:p>
            <w:r>
              <w:t>on cast, on crossing, on collision, on expiry</w:t>
            </w:r>
          </w:p>
        </w:tc>
        <w:tc>
          <w:tcPr>
            <w:tcW w:type="dxa" w:w="3331"/>
            <w:tcMar>
              <w:top w:w="90" w:type="dxa"/>
              <w:start w:w="100" w:type="dxa"/>
              <w:bottom w:w="90" w:type="dxa"/>
              <w:end w:w="100" w:type="dxa"/>
            </w:tcMar>
          </w:tcPr>
          <w:p>
            <w:r>
              <w:t>Provides limited chained behavior without general scripting.</w:t>
            </w:r>
          </w:p>
        </w:tc>
      </w:tr>
    </w:tbl>
    <w:p>
      <w:r>
        <w:t>The initial engine should support only a subset of these categories. The data model may reserve the vocabulary, but implementation should begin with one emitter, a few elements, a few modifiers, and a few payloads.</w:t>
      </w:r>
    </w:p>
    <w:p>
      <w:pPr>
        <w:pStyle w:val="Heading2"/>
      </w:pPr>
      <w:r>
        <w:t>Constraints that keep composition bounded</w:t>
      </w:r>
    </w:p>
    <w:p>
      <w:pPr>
        <w:ind w:left="317" w:hanging="202"/>
      </w:pPr>
      <w:r>
        <w:rPr>
          <w:b/>
        </w:rPr>
        <w:t xml:space="preserve">• </w:t>
      </w:r>
      <w:r>
        <w:t>One active spell per wizard. A new cast either waits for the current cast to resolve or replaces it under an explicit rule.</w:t>
      </w:r>
    </w:p>
    <w:p>
      <w:pPr>
        <w:ind w:left="317" w:hanging="202"/>
      </w:pPr>
      <w:r>
        <w:rPr>
          <w:b/>
        </w:rPr>
        <w:t xml:space="preserve">• </w:t>
      </w:r>
      <w:r>
        <w:t>A recipe closes after a short ingredient count or inactivity window. Raw key history is never retained indefinitely.</w:t>
      </w:r>
    </w:p>
    <w:p>
      <w:pPr>
        <w:ind w:left="317" w:hanging="202"/>
      </w:pPr>
      <w:r>
        <w:rPr>
          <w:b/>
        </w:rPr>
        <w:t xml:space="preserve">• </w:t>
      </w:r>
      <w:r>
        <w:t>The recipe engine consumes grouped physical events, not semantic characters, so layout changes do not silently rewrite the fiction.</w:t>
      </w:r>
    </w:p>
    <w:p>
      <w:pPr>
        <w:ind w:left="317" w:hanging="202"/>
      </w:pPr>
      <w:r>
        <w:rPr>
          <w:b/>
        </w:rPr>
        <w:t xml:space="preserve">• </w:t>
      </w:r>
      <w:r>
        <w:t>Base resolution is deterministic. Cosmetic jitter may vary particles, flicker, or flourish but must not change shared outcomes.</w:t>
      </w:r>
    </w:p>
    <w:p>
      <w:pPr>
        <w:ind w:left="317" w:hanging="202"/>
      </w:pPr>
      <w:r>
        <w:rPr>
          <w:b/>
        </w:rPr>
        <w:t xml:space="preserve">• </w:t>
      </w:r>
      <w:r>
        <w:t>Chained effects use a shallow trigger model with hard limits. No unbounded recursion, arbitrary scripts, or projectile multiplication in the first engine.</w:t>
      </w:r>
    </w:p>
    <w:p>
      <w:pPr>
        <w:pStyle w:val="Heading1"/>
      </w:pPr>
      <w:r>
        <w:t>Potential simplifications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8E1E8"/>
          </w:tcPr>
          <w:p>
            <w:r>
              <w:t>Area</w:t>
            </w:r>
          </w:p>
        </w:tc>
        <w:tc>
          <w:tcPr>
            <w:tcW w:type="dxa" w:w="3331"/>
            <w:shd w:fill="D8E1E8"/>
          </w:tcPr>
          <w:p>
            <w:r>
              <w:t>Start with</w:t>
            </w:r>
          </w:p>
        </w:tc>
        <w:tc>
          <w:tcPr>
            <w:tcW w:type="dxa" w:w="3331"/>
            <w:shd w:fill="D8E1E8"/>
          </w:tcPr>
          <w:p>
            <w:r>
              <w:t>Preserve for later</w:t>
            </w:r>
          </w:p>
        </w:tc>
      </w:tr>
      <w:tr>
        <w:tc>
          <w:tcPr>
            <w:tcW w:type="dxa" w:w="3331"/>
            <w:tcMar>
              <w:top w:w="90" w:type="dxa"/>
              <w:start w:w="100" w:type="dxa"/>
              <w:bottom w:w="90" w:type="dxa"/>
              <w:end w:w="100" w:type="dxa"/>
            </w:tcMar>
          </w:tcPr>
          <w:p>
            <w:r>
              <w:t>Projectile state</w:t>
            </w:r>
          </w:p>
        </w:tc>
        <w:tc>
          <w:tcPr>
            <w:tcW w:type="dxa" w:w="3331"/>
            <w:tcMar>
              <w:top w:w="90" w:type="dxa"/>
              <w:start w:w="100" w:type="dxa"/>
              <w:bottom w:w="90" w:type="dxa"/>
              <w:end w:w="100" w:type="dxa"/>
            </w:tcMar>
          </w:tcPr>
          <w:p>
            <w:r>
              <w:t>One active spell or projectile slot per wizard.</w:t>
            </w:r>
          </w:p>
        </w:tc>
        <w:tc>
          <w:tcPr>
            <w:tcW w:type="dxa" w:w="3331"/>
            <w:tcMar>
              <w:top w:w="90" w:type="dxa"/>
              <w:start w:w="100" w:type="dxa"/>
              <w:bottom w:w="90" w:type="dxa"/>
              <w:end w:w="100" w:type="dxa"/>
            </w:tcMar>
          </w:tcPr>
          <w:p>
            <w:r>
              <w:t>Multiple projectiles, chained casts, split carriers.</w:t>
            </w:r>
          </w:p>
        </w:tc>
      </w:tr>
      <w:tr>
        <w:tc>
          <w:tcPr>
            <w:tcW w:type="dxa" w:w="3331"/>
            <w:tcMar>
              <w:top w:w="90" w:type="dxa"/>
              <w:start w:w="100" w:type="dxa"/>
              <w:bottom w:w="90" w:type="dxa"/>
              <w:end w:w="100" w:type="dxa"/>
            </w:tcMar>
          </w:tcPr>
          <w:p>
            <w:r>
              <w:t>Movement</w:t>
            </w:r>
          </w:p>
        </w:tc>
        <w:tc>
          <w:tcPr>
            <w:tcW w:type="dxa" w:w="3331"/>
            <w:tcMar>
              <w:top w:w="90" w:type="dxa"/>
              <w:start w:w="100" w:type="dxa"/>
              <w:bottom w:w="90" w:type="dxa"/>
              <w:end w:w="100" w:type="dxa"/>
            </w:tcMar>
          </w:tcPr>
          <w:p>
            <w:r>
              <w:t>Normalized progress from 0 to 255 across the whole battlefield.</w:t>
            </w:r>
          </w:p>
        </w:tc>
        <w:tc>
          <w:tcPr>
            <w:tcW w:type="dxa" w:w="3331"/>
            <w:tcMar>
              <w:top w:w="90" w:type="dxa"/>
              <w:start w:w="100" w:type="dxa"/>
              <w:bottom w:w="90" w:type="dxa"/>
              <w:end w:w="100" w:type="dxa"/>
            </w:tcMar>
          </w:tcPr>
          <w:p>
            <w:r>
              <w:t>Curved paths, acceleration, homing, orbiting.</w:t>
            </w:r>
          </w:p>
        </w:tc>
      </w:tr>
      <w:tr>
        <w:tc>
          <w:tcPr>
            <w:tcW w:type="dxa" w:w="3331"/>
            <w:tcMar>
              <w:top w:w="90" w:type="dxa"/>
              <w:start w:w="100" w:type="dxa"/>
              <w:bottom w:w="90" w:type="dxa"/>
              <w:end w:w="100" w:type="dxa"/>
            </w:tcMar>
          </w:tcPr>
          <w:p>
            <w:r>
              <w:t>Collision</w:t>
            </w:r>
          </w:p>
        </w:tc>
        <w:tc>
          <w:tcPr>
            <w:tcW w:type="dxa" w:w="3331"/>
            <w:tcMar>
              <w:top w:w="90" w:type="dxa"/>
              <w:start w:w="100" w:type="dxa"/>
              <w:bottom w:w="90" w:type="dxa"/>
              <w:end w:w="100" w:type="dxa"/>
            </w:tcMar>
          </w:tcPr>
          <w:p>
            <w:r>
              <w:t>Rule-based crossing and impact thresholds.</w:t>
            </w:r>
          </w:p>
        </w:tc>
        <w:tc>
          <w:tcPr>
            <w:tcW w:type="dxa" w:w="3331"/>
            <w:tcMar>
              <w:top w:w="90" w:type="dxa"/>
              <w:start w:w="100" w:type="dxa"/>
              <w:bottom w:w="90" w:type="dxa"/>
              <w:end w:w="100" w:type="dxa"/>
            </w:tcMar>
          </w:tcPr>
          <w:p>
            <w:r>
              <w:t>Pixel or geometry-based collision.</w:t>
            </w:r>
          </w:p>
        </w:tc>
      </w:tr>
      <w:tr>
        <w:tc>
          <w:tcPr>
            <w:tcW w:type="dxa" w:w="3331"/>
            <w:tcMar>
              <w:top w:w="90" w:type="dxa"/>
              <w:start w:w="100" w:type="dxa"/>
              <w:bottom w:w="90" w:type="dxa"/>
              <w:end w:w="100" w:type="dxa"/>
            </w:tcMar>
          </w:tcPr>
          <w:p>
            <w:r>
              <w:t>Shield</w:t>
            </w:r>
          </w:p>
        </w:tc>
        <w:tc>
          <w:tcPr>
            <w:tcW w:type="dxa" w:w="3331"/>
            <w:tcMar>
              <w:top w:w="90" w:type="dxa"/>
              <w:start w:w="100" w:type="dxa"/>
              <w:bottom w:w="90" w:type="dxa"/>
              <w:end w:w="100" w:type="dxa"/>
            </w:tcMar>
          </w:tcPr>
          <w:p>
            <w:r>
              <w:t>Boolean or small-strength state with expiry.</w:t>
            </w:r>
          </w:p>
        </w:tc>
        <w:tc>
          <w:tcPr>
            <w:tcW w:type="dxa" w:w="3331"/>
            <w:tcMar>
              <w:top w:w="90" w:type="dxa"/>
              <w:start w:w="100" w:type="dxa"/>
              <w:bottom w:w="90" w:type="dxa"/>
              <w:end w:w="100" w:type="dxa"/>
            </w:tcMar>
          </w:tcPr>
          <w:p>
            <w:r>
              <w:t>Independent shield geometry or complex reflection angles.</w:t>
            </w:r>
          </w:p>
        </w:tc>
      </w:tr>
      <w:tr>
        <w:tc>
          <w:tcPr>
            <w:tcW w:type="dxa" w:w="3331"/>
            <w:tcMar>
              <w:top w:w="90" w:type="dxa"/>
              <w:start w:w="100" w:type="dxa"/>
              <w:bottom w:w="90" w:type="dxa"/>
              <w:end w:w="100" w:type="dxa"/>
            </w:tcMar>
          </w:tcPr>
          <w:p>
            <w:r>
              <w:t>Roster</w:t>
            </w:r>
          </w:p>
        </w:tc>
        <w:tc>
          <w:tcPr>
            <w:tcW w:type="dxa" w:w="3331"/>
            <w:tcMar>
              <w:top w:w="90" w:type="dxa"/>
              <w:start w:w="100" w:type="dxa"/>
              <w:bottom w:w="90" w:type="dxa"/>
              <w:end w:w="100" w:type="dxa"/>
            </w:tcMar>
          </w:tcPr>
          <w:p>
            <w:r>
              <w:t>Shared pose topology with small masks and accessories.</w:t>
            </w:r>
          </w:p>
        </w:tc>
        <w:tc>
          <w:tcPr>
            <w:tcW w:type="dxa" w:w="3331"/>
            <w:tcMar>
              <w:top w:w="90" w:type="dxa"/>
              <w:start w:w="100" w:type="dxa"/>
              <w:bottom w:w="90" w:type="dxa"/>
              <w:end w:w="100" w:type="dxa"/>
            </w:tcMar>
          </w:tcPr>
          <w:p>
            <w:r>
              <w:t>Fully distinct animation sets for each minion.</w:t>
            </w:r>
          </w:p>
        </w:tc>
      </w:tr>
      <w:tr>
        <w:tc>
          <w:tcPr>
            <w:tcW w:type="dxa" w:w="3331"/>
            <w:tcMar>
              <w:top w:w="90" w:type="dxa"/>
              <w:start w:w="100" w:type="dxa"/>
              <w:bottom w:w="90" w:type="dxa"/>
              <w:end w:w="100" w:type="dxa"/>
            </w:tcMar>
          </w:tcPr>
          <w:p>
            <w:r>
              <w:t>Browser mode</w:t>
            </w:r>
          </w:p>
        </w:tc>
        <w:tc>
          <w:tcPr>
            <w:tcW w:type="dxa" w:w="3331"/>
            <w:tcMar>
              <w:top w:w="90" w:type="dxa"/>
              <w:start w:w="100" w:type="dxa"/>
              <w:bottom w:w="90" w:type="dxa"/>
              <w:end w:w="100" w:type="dxa"/>
            </w:tcMar>
          </w:tcPr>
          <w:p>
            <w:r>
              <w:t>Focused or unfocused state plus a coarse activity pulse.</w:t>
            </w:r>
          </w:p>
        </w:tc>
        <w:tc>
          <w:tcPr>
            <w:tcW w:type="dxa" w:w="3331"/>
            <w:tcMar>
              <w:top w:w="90" w:type="dxa"/>
              <w:start w:w="100" w:type="dxa"/>
              <w:bottom w:w="90" w:type="dxa"/>
              <w:end w:w="100" w:type="dxa"/>
            </w:tcMar>
          </w:tcPr>
          <w:p>
            <w:r>
              <w:t>Scroll direction, tab events, page semantics, extensions.</w:t>
            </w:r>
          </w:p>
        </w:tc>
      </w:tr>
      <w:tr>
        <w:tc>
          <w:tcPr>
            <w:tcW w:type="dxa" w:w="3331"/>
            <w:tcMar>
              <w:top w:w="90" w:type="dxa"/>
              <w:start w:w="100" w:type="dxa"/>
              <w:bottom w:w="90" w:type="dxa"/>
              <w:end w:w="100" w:type="dxa"/>
            </w:tcMar>
          </w:tcPr>
          <w:p>
            <w:r>
              <w:t>Notifications</w:t>
            </w:r>
          </w:p>
        </w:tc>
        <w:tc>
          <w:tcPr>
            <w:tcW w:type="dxa" w:w="3331"/>
            <w:tcMar>
              <w:top w:w="90" w:type="dxa"/>
              <w:start w:w="100" w:type="dxa"/>
              <w:bottom w:w="90" w:type="dxa"/>
              <w:end w:w="100" w:type="dxa"/>
            </w:tcMar>
          </w:tcPr>
          <w:p>
            <w:r>
              <w:t>Category, priority, count, age, persistent bit.</w:t>
            </w:r>
          </w:p>
        </w:tc>
        <w:tc>
          <w:tcPr>
            <w:tcW w:type="dxa" w:w="3331"/>
            <w:tcMar>
              <w:top w:w="90" w:type="dxa"/>
              <w:start w:w="100" w:type="dxa"/>
              <w:bottom w:w="90" w:type="dxa"/>
              <w:end w:w="100" w:type="dxa"/>
            </w:tcMar>
          </w:tcPr>
          <w:p>
            <w:r>
              <w:t>Message bodies, source-specific firmware behavior.</w:t>
            </w:r>
          </w:p>
        </w:tc>
      </w:tr>
      <w:tr>
        <w:tc>
          <w:tcPr>
            <w:tcW w:type="dxa" w:w="3331"/>
            <w:tcMar>
              <w:top w:w="90" w:type="dxa"/>
              <w:start w:w="100" w:type="dxa"/>
              <w:bottom w:w="90" w:type="dxa"/>
              <w:end w:w="100" w:type="dxa"/>
            </w:tcMar>
          </w:tcPr>
          <w:p>
            <w:r>
              <w:t>Host protocol</w:t>
            </w:r>
          </w:p>
        </w:tc>
        <w:tc>
          <w:tcPr>
            <w:tcW w:type="dxa" w:w="3331"/>
            <w:tcMar>
              <w:top w:w="90" w:type="dxa"/>
              <w:start w:w="100" w:type="dxa"/>
              <w:bottom w:w="90" w:type="dxa"/>
              <w:end w:w="100" w:type="dxa"/>
            </w:tcMar>
          </w:tcPr>
          <w:p>
            <w:r>
              <w:t>Versioned semantic messages with heartbeat.</w:t>
            </w:r>
          </w:p>
        </w:tc>
        <w:tc>
          <w:tcPr>
            <w:tcW w:type="dxa" w:w="3331"/>
            <w:tcMar>
              <w:top w:w="90" w:type="dxa"/>
              <w:start w:w="100" w:type="dxa"/>
              <w:bottom w:w="90" w:type="dxa"/>
              <w:end w:w="100" w:type="dxa"/>
            </w:tcMar>
          </w:tcPr>
          <w:p>
            <w:r>
              <w:t>Arbitrary host-rendered frames.</w:t>
            </w:r>
          </w:p>
        </w:tc>
      </w:tr>
    </w:tbl>
    <w:p>
      <w:pPr>
        <w:pStyle w:val="Heading1"/>
      </w:pPr>
      <w:r>
        <w:t>Technical spikes to run before broad implementation</w:t>
      </w:r>
    </w:p>
    <w:p>
      <w:pPr>
        <w:pStyle w:val="Heading2"/>
      </w:pPr>
      <w:r>
        <w:t>1. Physical-half event identity</w:t>
      </w:r>
    </w:p>
    <w:p>
      <w:r>
        <w:t>Prove that a key event can be classified by physical half and row without relying on emitted keycode, layer, or Vial mapping. Log or display the classification. This is foundational for independent wizard control.</w:t>
      </w:r>
    </w:p>
    <w:p>
      <w:pPr>
        <w:pStyle w:val="Heading2"/>
      </w:pPr>
      <w:r>
        <w:t>2. Fixed simulation tick</w:t>
      </w:r>
    </w:p>
    <w:p>
      <w:r>
        <w:t>Create a minimal authoritative world that advances at a fixed integer tick, independent of OLED refresh. Prove that changing render cadence does not change motion or outcomes.</w:t>
      </w:r>
    </w:p>
    <w:p>
      <w:pPr>
        <w:pStyle w:val="Heading2"/>
      </w:pPr>
      <w:r>
        <w:t>3. Split snapshot transport</w:t>
      </w:r>
    </w:p>
    <w:p>
      <w:r>
        <w:t>Send a compact packet containing sequence, world tick, two poses, health, and shield state. Prove ordering, stale detection, reconnect behavior, and recovery after a missed update.</w:t>
      </w:r>
    </w:p>
    <w:p>
      <w:pPr>
        <w:pStyle w:val="Heading2"/>
      </w:pPr>
      <w:r>
        <w:t>4. Two-screen composition</w:t>
      </w:r>
    </w:p>
    <w:p>
      <w:r>
        <w:t>Render two actor silhouettes and one cross-gap carrier using normalized progress. Verify actual readability on the physical OLEDs and across the real gap.</w:t>
      </w:r>
    </w:p>
    <w:p>
      <w:pPr>
        <w:pStyle w:val="Heading2"/>
      </w:pPr>
      <w:r>
        <w:t>5. Layer-chord state machine</w:t>
      </w:r>
    </w:p>
    <w:p>
      <w:r>
        <w:t>Implement hold detection, cancellation, and release behavior using physical positions. Prove that rolled layer use does not accidentally invoke the overlay.</w:t>
      </w:r>
    </w:p>
    <w:p>
      <w:pPr>
        <w:pStyle w:val="Heading2"/>
      </w:pPr>
      <w:r>
        <w:t>6. OLED sleep and wake</w:t>
      </w:r>
    </w:p>
    <w:p>
      <w:r>
        <w:t>Test timeout, fade, wake, split reconnect, and host reconnect after sleep. Stale timestamps must not cause animation leaps.</w:t>
      </w:r>
    </w:p>
    <w:p>
      <w:pPr>
        <w:pStyle w:val="Heading2"/>
      </w:pPr>
      <w:r>
        <w:t>7. Host protocol isolation</w:t>
      </w:r>
    </w:p>
    <w:p>
      <w:r>
        <w:t>On the host-only branch, prove Raw HID heartbeat and one scene message with VIA/Vial disabled. Do not combine this spike with notification or desktop integration work.</w:t>
      </w:r>
    </w:p>
    <w:p>
      <w:pPr>
        <w:pStyle w:val="Heading1"/>
      </w:pPr>
      <w:r>
        <w:t>Primary failure modes</w:t>
      </w:r>
    </w:p>
    <w:p>
      <w:r>
        <w:rPr>
          <w:b/>
        </w:rPr>
        <w:t xml:space="preserve">Input-path contamination: </w:t>
      </w:r>
      <w:r>
        <w:t>Rendering, allocation, split writes, or recipe resolution inside key processing can introduce latency or missed keys. Key callbacks should only record compact events.</w:t>
      </w:r>
    </w:p>
    <w:p>
      <w:r>
        <w:rPr>
          <w:b/>
        </w:rPr>
        <w:t xml:space="preserve">Distributed-state disagreement: </w:t>
      </w:r>
      <w:r>
        <w:t>Two simulations will eventually diverge. Keep one authoritative world and use periodic snapshots even if event hints are added.</w:t>
      </w:r>
    </w:p>
    <w:p>
      <w:r>
        <w:rPr>
          <w:b/>
        </w:rPr>
        <w:t xml:space="preserve">Vial persistence trap: </w:t>
      </w:r>
      <w:r>
        <w:t>The live layout may exist partly in dynamic storage. Static layout capture is mandatory before disabling Vial in the host branch.</w:t>
      </w:r>
    </w:p>
    <w:p>
      <w:r>
        <w:rPr>
          <w:b/>
        </w:rPr>
        <w:t xml:space="preserve">Transport and rendering contention: </w:t>
      </w:r>
      <w:r>
        <w:t>OLED flushing and split synchronization can collide. Schedule simulation, snapshot, and render work separately and measure worst-case execution time.</w:t>
      </w:r>
    </w:p>
    <w:p>
      <w:r>
        <w:rPr>
          <w:b/>
        </w:rPr>
        <w:t xml:space="preserve">Unbounded spell composition: </w:t>
      </w:r>
      <w:r>
        <w:t>Noita-like composition becomes expensive if interpreted as a general-purpose spell language. Use fixed tags, shallow triggers, one active spell, and hard caps.</w:t>
      </w:r>
    </w:p>
    <w:p>
      <w:r>
        <w:rPr>
          <w:b/>
        </w:rPr>
        <w:t xml:space="preserve">Notification restlessness: </w:t>
      </w:r>
      <w:r>
        <w:t>Repeated alerts can destroy the ambient quality. Deduplicate, aggregate, rate-limit, and enforce an interruption budget on the host.</w:t>
      </w:r>
    </w:p>
    <w:p>
      <w:r>
        <w:rPr>
          <w:b/>
        </w:rPr>
        <w:t xml:space="preserve">Desktop fragmentation: </w:t>
      </w:r>
      <w:r>
        <w:t>App focus, browser events, and notifications differ across Wayland, X11, and desktop environments. Hide platform details behind adapters.</w:t>
      </w:r>
    </w:p>
    <w:p>
      <w:r>
        <w:rPr>
          <w:b/>
        </w:rPr>
        <w:t xml:space="preserve">Clock discontinuity: </w:t>
      </w:r>
      <w:r>
        <w:t>Host wall time, suspend, or reconnect must not advance combat. Firmware monotonic time and master world tick own simulation.</w:t>
      </w:r>
    </w:p>
    <w:p>
      <w:r>
        <w:rPr>
          <w:b/>
        </w:rPr>
        <w:t xml:space="preserve">Burn-in and static density: </w:t>
      </w:r>
      <w:r>
        <w:t>Persistent borders, health bars, and markers may burn in even when sprites move. Use timeout, reduced brightness, variation, and sparse base scenes.</w:t>
      </w:r>
    </w:p>
    <w:p>
      <w:pPr>
        <w:pStyle w:val="Heading1"/>
      </w:pPr>
      <w:r>
        <w:t>Recommended engine boundaries</w:t>
      </w:r>
    </w:p>
    <w:p>
      <w:r>
        <w:t>The implementation should explicitly separate three classes of data:</w:t>
      </w:r>
    </w:p>
    <w:p>
      <w:r>
        <w:rPr>
          <w:b/>
        </w:rPr>
        <w:t xml:space="preserve">Simulation state: </w:t>
      </w:r>
      <w:r>
        <w:t>Authoritative health, active spell, projectile progress, shield, actor lifecycle, scene class, and world tick.</w:t>
      </w:r>
    </w:p>
    <w:p>
      <w:r>
        <w:rPr>
          <w:b/>
        </w:rPr>
        <w:t xml:space="preserve">Presentation state: </w:t>
      </w:r>
      <w:r>
        <w:t>Local blink, impact flash, transition phase, interpolation, stale-link marker, and other visual effects that may be lost without altering outcomes.</w:t>
      </w:r>
    </w:p>
    <w:p>
      <w:r>
        <w:rPr>
          <w:b/>
        </w:rPr>
        <w:t xml:space="preserve">External context: </w:t>
      </w:r>
      <w:r>
        <w:t>Host heartbeat, application class, notification summary, and other disposable context that can be cleared when the daemon disappears.</w:t>
      </w:r>
    </w:p>
    <w:tbl>
      <w:tblPr>
        <w:tblW w:type="auto" w:w="0"/>
        <w:jc w:val="center"/>
        <w:tblLayout w:type="autofit"/>
        <w:tblLook w:firstColumn="1" w:firstRow="1" w:lastColumn="0" w:lastRow="0" w:noHBand="0" w:noVBand="1" w:val="04A0"/>
      </w:tblPr>
      <w:tblGrid>
        <w:gridCol w:w="9994"/>
      </w:tblGrid>
      <w:tr>
        <w:tc>
          <w:tcPr>
            <w:tcW w:type="dxa" w:w="9994"/>
            <w:shd w:fill="E9EEF2"/>
            <w:tcMar>
              <w:top w:w="120" w:type="dxa"/>
              <w:start w:w="140" w:type="dxa"/>
              <w:bottom w:w="120" w:type="dxa"/>
              <w:end w:w="140" w:type="dxa"/>
            </w:tcMar>
          </w:tcPr>
          <w:p>
            <w:pPr>
              <w:spacing w:after="60"/>
            </w:pPr>
            <w:r>
              <w:rPr>
                <w:b/>
                <w:color w:val="2D3C4A"/>
                <w:sz w:val="16"/>
              </w:rPr>
              <w:t>DECISION RULE</w:t>
            </w:r>
          </w:p>
          <w:p>
            <w:pPr>
              <w:spacing w:after="0" w:line="252" w:lineRule="auto"/>
            </w:pPr>
            <w:r>
              <w:t>The vision stays broad. Every first implementation stays bounded. A feature may be deferred without being removed from the product concept.</w:t>
            </w:r>
          </w:p>
        </w:tc>
      </w:tr>
    </w:tbl>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E767E"/>
        <w:sz w:val="15"/>
      </w:rPr>
      <w:t xml:space="preserve">CORNE ARCANE OLED SYSTEM  |  PLANNING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7202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63746"/>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3A4A5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202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D59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ody">
    <w:name w:val="Compact Body"/>
    <w:pPr>
      <w:spacing w:after="40" w:line="240" w:lineRule="auto"/>
    </w:pPr>
    <w:rPr>
      <w:rFonts w:ascii="Aptos" w:hAnsi="Aptos"/>
      <w:sz w:val="17"/>
    </w:rPr>
  </w:style>
  <w:style w:type="paragraph" w:customStyle="1" w:styleId="PromptText">
    <w:name w:val="Prompt Text"/>
    <w:pPr>
      <w:spacing w:after="30" w:line="240" w:lineRule="auto"/>
      <w:ind w:left="259" w:right="173"/>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Corne Arcane OLED Design Audit Addendum</dc:title>
  <dc:subject>Corne Arcane OLED design and implementation planning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