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8D38" w14:textId="27DD69E4" w:rsidR="00A906CC" w:rsidRDefault="00000000">
      <w:pPr>
        <w:pStyle w:val="FirstParagraph"/>
        <w:rPr>
          <w:lang w:eastAsia="zh-CN"/>
        </w:rPr>
      </w:pPr>
      <w:r>
        <w:rPr>
          <w:lang w:eastAsia="zh-CN"/>
        </w:rPr>
        <w:t>一、迁移学习定义</w:t>
      </w:r>
      <w:r>
        <w:rPr>
          <w:lang w:eastAsia="zh-CN"/>
        </w:rPr>
        <w:t>[1]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给定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lang w:eastAsia="zh-CN"/>
              </w:rPr>
              <m:t>S</m:t>
            </m:r>
          </m:sup>
        </m:sSup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个源域</w:t>
      </w:r>
      <w:proofErr w:type="gramEnd"/>
      <w:r>
        <w:rPr>
          <w:lang w:eastAsia="zh-CN"/>
        </w:rPr>
        <w:t>和任务（即</w:t>
      </w:r>
      <w:r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  <w:lang w:eastAsia="zh-CN"/>
              </w:rPr>
              <m:t>∣i=1,…,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S</m:t>
                </m:r>
              </m:sup>
            </m:sSup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）上的一个或多个观察</w:t>
      </w:r>
      <w:r>
        <w:rPr>
          <w:lang w:eastAsia="zh-CN"/>
        </w:rPr>
        <w:t>,</w:t>
      </w:r>
      <w:r>
        <w:rPr>
          <w:lang w:eastAsia="zh-CN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目标域和任务（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Tj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j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  <w:lang w:eastAsia="zh-CN"/>
              </w:rPr>
              <m:t>∣j=1,…,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T</m:t>
                </m:r>
              </m:sup>
            </m:sSup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上的一个或多个观察，迁移学习</w:t>
      </w:r>
      <w:proofErr w:type="gramStart"/>
      <w:r>
        <w:rPr>
          <w:lang w:eastAsia="zh-CN"/>
        </w:rPr>
        <w:t>使用源域上</w:t>
      </w:r>
      <w:proofErr w:type="gramEnd"/>
      <w:r>
        <w:rPr>
          <w:lang w:eastAsia="zh-CN"/>
        </w:rPr>
        <w:t>的知识帮助目标域上决策函数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j</m:t>
                </m:r>
              </m:sub>
            </m:sSub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j=1,…,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T</m:t>
                </m:r>
              </m:sup>
            </m:sSup>
          </m:e>
        </m:d>
      </m:oMath>
      <w:r>
        <w:rPr>
          <w:lang w:eastAsia="zh-CN"/>
        </w:rPr>
        <w:t>的学习。</w:t>
      </w:r>
    </w:p>
    <w:p w14:paraId="0D5DD742" w14:textId="77777777" w:rsidR="00B32F27" w:rsidRDefault="00000000">
      <w:pPr>
        <w:pStyle w:val="a0"/>
        <w:rPr>
          <w:lang w:eastAsia="zh-CN"/>
        </w:rPr>
      </w:pPr>
      <w:r>
        <w:rPr>
          <w:lang w:eastAsia="zh-CN"/>
        </w:rPr>
        <w:t>补充：</w:t>
      </w:r>
    </w:p>
    <w:p w14:paraId="09CE8160" w14:textId="743416DB" w:rsidR="00A906CC" w:rsidRDefault="00000000">
      <w:pPr>
        <w:pStyle w:val="a0"/>
        <w:rPr>
          <w:lang w:eastAsia="zh-CN"/>
        </w:rPr>
      </w:pPr>
      <w:r>
        <w:rPr>
          <w:lang w:eastAsia="zh-CN"/>
        </w:rPr>
        <w:t>对一个域或任务的观察是指一个</w:t>
      </w:r>
      <w:proofErr w:type="gramStart"/>
      <w:r>
        <w:rPr>
          <w:lang w:eastAsia="zh-CN"/>
        </w:rPr>
        <w:t>预训练</w:t>
      </w:r>
      <w:proofErr w:type="gramEnd"/>
      <w:r>
        <w:rPr>
          <w:lang w:eastAsia="zh-CN"/>
        </w:rPr>
        <w:t>的模型或一个标记或未标记的实例集。</w:t>
      </w:r>
      <w:r>
        <w:rPr>
          <w:lang w:eastAsia="zh-CN"/>
        </w:rPr>
        <w:t xml:space="preserve"> </w:t>
      </w:r>
      <w:r>
        <w:rPr>
          <w:lang w:eastAsia="zh-CN"/>
        </w:rPr>
        <w:t>领域：一个领域</w:t>
      </w:r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 xml:space="preserve"> </w:t>
      </w:r>
      <w:r>
        <w:rPr>
          <w:lang w:eastAsia="zh-CN"/>
        </w:rPr>
        <w:t>由特种空间</w:t>
      </w:r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和边缘概率分布</w:t>
      </w:r>
      <m:oMath>
        <m:r>
          <w:rPr>
            <w:rFonts w:ascii="Cambria Math" w:hAnsi="Cambria Math"/>
            <w:lang w:eastAsia="zh-CN"/>
          </w:rPr>
          <m:t>P(X)</m:t>
        </m:r>
      </m:oMath>
      <w:r>
        <w:rPr>
          <w:lang w:eastAsia="zh-CN"/>
        </w:rPr>
        <w:t>组成，即</w:t>
      </w:r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D</m:t>
        </m:r>
        <m:r>
          <w:rPr>
            <w:rFonts w:ascii="Cambria Math" w:hAnsi="Cambria Math"/>
            <w:lang w:eastAsia="zh-C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,P(X)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。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为</w:t>
      </w:r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上的实例集</w:t>
      </w:r>
      <w:r>
        <w:rPr>
          <w:lang w:eastAsia="zh-CN"/>
        </w:rPr>
        <w:t xml:space="preserve"> </w:t>
      </w:r>
      <w:r>
        <w:rPr>
          <w:lang w:eastAsia="zh-CN"/>
        </w:rPr>
        <w:t>任务：一个任务</w:t>
      </w:r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 xml:space="preserve"> </w:t>
      </w:r>
      <w:r>
        <w:rPr>
          <w:lang w:eastAsia="zh-CN"/>
        </w:rPr>
        <w:t>由标签空间</w:t>
      </w:r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和决策函数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组成</w:t>
      </w:r>
      <w:r>
        <w:rPr>
          <w:lang w:eastAsia="zh-CN"/>
        </w:rPr>
        <w:t>,</w:t>
      </w:r>
      <w:r>
        <w:rPr>
          <w:lang w:eastAsia="zh-CN"/>
        </w:rPr>
        <w:t>即</w:t>
      </w:r>
      <w:r>
        <w:rPr>
          <w:lang w:eastAsia="zh-CN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/>
                <w:lang w:eastAsia="zh-CN"/>
              </w:rPr>
              <m:t>Y</m:t>
            </m:r>
            <m:r>
              <w:rPr>
                <w:rFonts w:ascii="Cambria Math" w:hAnsi="Cambria Math"/>
                <w:lang w:eastAsia="zh-CN"/>
              </w:rPr>
              <m:t>,f</m:t>
            </m:r>
          </m:e>
        </m:d>
      </m:oMath>
      <w:r>
        <w:rPr>
          <w:lang w:eastAsia="zh-CN"/>
        </w:rPr>
        <w:t>.</w:t>
      </w:r>
    </w:p>
    <w:p w14:paraId="5246063B" w14:textId="77777777" w:rsidR="00A906CC" w:rsidRDefault="00000000">
      <w:pPr>
        <w:pStyle w:val="a0"/>
        <w:rPr>
          <w:lang w:eastAsia="zh-CN"/>
        </w:rPr>
      </w:pPr>
      <w:r>
        <w:rPr>
          <w:lang w:eastAsia="zh-CN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lang w:eastAsia="zh-CN"/>
              </w:rPr>
              <m:t>S</m:t>
            </m:r>
          </m:sup>
        </m:sSup>
        <m:r>
          <w:rPr>
            <w:rFonts w:ascii="Cambria Math" w:hAnsi="Cambria Math"/>
            <w:lang w:eastAsia="zh-CN"/>
          </w:rPr>
          <m:t>≥2</m:t>
        </m:r>
      </m:oMath>
      <w:r>
        <w:rPr>
          <w:lang w:eastAsia="zh-CN"/>
        </w:rPr>
        <w:t xml:space="preserve"> </w:t>
      </w:r>
      <w:r>
        <w:rPr>
          <w:lang w:eastAsia="zh-CN"/>
        </w:rPr>
        <w:t>时，为多源迁移学习。</w:t>
      </w:r>
    </w:p>
    <w:p w14:paraId="72E04CFB" w14:textId="7BE0E0EA" w:rsidR="00A906CC" w:rsidRDefault="00000000">
      <w:pPr>
        <w:pStyle w:val="a0"/>
        <w:rPr>
          <w:lang w:eastAsia="zh-CN"/>
        </w:rPr>
      </w:pPr>
      <w:r>
        <w:rPr>
          <w:lang w:eastAsia="zh-CN"/>
        </w:rPr>
        <w:t>二、迁移学习分类、迁移学习研究现状</w:t>
      </w:r>
      <w:r>
        <w:rPr>
          <w:lang w:eastAsia="zh-CN"/>
        </w:rPr>
        <w:t xml:space="preserve"> </w:t>
      </w:r>
      <w:r>
        <w:rPr>
          <w:lang w:eastAsia="zh-CN"/>
        </w:rPr>
        <w:t>迁移学习有不同的分类方式。</w:t>
      </w:r>
      <w:r>
        <w:rPr>
          <w:lang w:eastAsia="zh-CN"/>
        </w:rPr>
        <w:t xml:space="preserve"> 1</w:t>
      </w:r>
      <w:r>
        <w:rPr>
          <w:lang w:eastAsia="zh-CN"/>
        </w:rPr>
        <w:t>、可以根据标签设置</w:t>
      </w:r>
      <w:r>
        <w:rPr>
          <w:lang w:eastAsia="zh-CN"/>
        </w:rPr>
        <w:t>[2]</w:t>
      </w:r>
      <w:r>
        <w:rPr>
          <w:lang w:eastAsia="zh-CN"/>
        </w:rPr>
        <w:t>将迁移学习分为直推式迁移学习、归纳式迁移学习和无监督迁移学习。</w:t>
      </w:r>
      <w:r>
        <w:rPr>
          <w:lang w:eastAsia="zh-CN"/>
        </w:rPr>
        <w:t xml:space="preserve"> </w:t>
      </w:r>
    </w:p>
    <w:p w14:paraId="7D216093" w14:textId="18CC1DD3" w:rsidR="00B32F27" w:rsidRDefault="00B32F27">
      <w:pPr>
        <w:pStyle w:val="a0"/>
      </w:pPr>
      <w:r>
        <w:rPr>
          <w:noProof/>
        </w:rPr>
        <w:drawing>
          <wp:inline distT="0" distB="0" distL="0" distR="0" wp14:anchorId="69A0F4E7" wp14:editId="10A06B37">
            <wp:extent cx="5486400" cy="1461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3F75" w14:textId="77777777" w:rsidR="00A906CC" w:rsidRDefault="00000000">
      <w:pPr>
        <w:pStyle w:val="a0"/>
      </w:pPr>
      <w:r>
        <w:rPr>
          <w:lang w:eastAsia="zh-CN"/>
        </w:rPr>
        <w:t>2</w:t>
      </w:r>
      <w:r>
        <w:rPr>
          <w:lang w:eastAsia="zh-CN"/>
        </w:rPr>
        <w:t>、根据领域</w:t>
      </w:r>
      <w:proofErr w:type="gramStart"/>
      <w:r>
        <w:rPr>
          <w:lang w:eastAsia="zh-CN"/>
        </w:rPr>
        <w:t>间特征</w:t>
      </w:r>
      <w:proofErr w:type="gramEnd"/>
      <w:r>
        <w:rPr>
          <w:lang w:eastAsia="zh-CN"/>
        </w:rPr>
        <w:t>空间和类别空间的异同可以分为同构和异构迁移学习。</w:t>
      </w:r>
      <w:r>
        <w:rPr>
          <w:lang w:eastAsia="zh-CN"/>
        </w:rPr>
        <w:t xml:space="preserve"> </w:t>
      </w:r>
      <w:proofErr w:type="spellStart"/>
      <w:r>
        <w:t>同构迁移学习</w:t>
      </w:r>
      <w:proofErr w:type="spell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  <w:r>
        <w:t>，异构迁移学习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and/or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  <w:r>
        <w:t>。</w:t>
      </w:r>
    </w:p>
    <w:p w14:paraId="7EED3228" w14:textId="77777777" w:rsidR="00A906CC" w:rsidRDefault="00000000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、可以根据学习方法</w:t>
      </w:r>
      <w:r>
        <w:rPr>
          <w:lang w:eastAsia="zh-CN"/>
        </w:rPr>
        <w:t>[2]</w:t>
      </w:r>
      <w:r>
        <w:rPr>
          <w:lang w:eastAsia="zh-CN"/>
        </w:rPr>
        <w:t>将迁移学习大致分为四类：基于实例的迁移学习、基于特征的迁移学习、基于模型的迁移学习和基于关系的迁移学习。</w:t>
      </w:r>
      <w:r>
        <w:rPr>
          <w:lang w:eastAsia="zh-CN"/>
        </w:rPr>
        <w:t xml:space="preserve"> </w:t>
      </w:r>
      <w:r>
        <w:rPr>
          <w:lang w:eastAsia="zh-CN"/>
        </w:rPr>
        <w:t>基于实例的迁移学习方法，根据样本的相似性给源于样本加权。基于特征的迁移学习方法，</w:t>
      </w:r>
      <w:proofErr w:type="gramStart"/>
      <w:r>
        <w:rPr>
          <w:lang w:eastAsia="zh-CN"/>
        </w:rPr>
        <w:t>把源域</w:t>
      </w:r>
      <w:proofErr w:type="gramEnd"/>
      <w:r>
        <w:rPr>
          <w:lang w:eastAsia="zh-CN"/>
        </w:rPr>
        <w:t>和目标的特征变换到同一特征空间来完成迁移。进一步基于特征的迁移方法可以分为对称和不对称的方法，不对称的方法仅转换源域特征以匹配目标域，对称的方法</w:t>
      </w:r>
      <w:proofErr w:type="gramStart"/>
      <w:r>
        <w:rPr>
          <w:lang w:eastAsia="zh-CN"/>
        </w:rPr>
        <w:t>将源域和</w:t>
      </w:r>
      <w:proofErr w:type="gramEnd"/>
      <w:r>
        <w:rPr>
          <w:lang w:eastAsia="zh-CN"/>
        </w:rPr>
        <w:t>目标域特征转换到一个共同的特征空间。基于模型的迁移学习方法，共享</w:t>
      </w:r>
      <w:proofErr w:type="gramStart"/>
      <w:r>
        <w:rPr>
          <w:lang w:eastAsia="zh-CN"/>
        </w:rPr>
        <w:t>部分源域上</w:t>
      </w:r>
      <w:proofErr w:type="gramEnd"/>
      <w:r>
        <w:rPr>
          <w:lang w:eastAsia="zh-CN"/>
        </w:rPr>
        <w:t>训练模型的参数，以做到知识的迁移。基于关系的迁移学习方法，主要通过挖掘和利用关系进行类比迁移。</w:t>
      </w:r>
      <w:r>
        <w:rPr>
          <w:lang w:eastAsia="zh-CN"/>
        </w:rPr>
        <w:t xml:space="preserve"> </w:t>
      </w:r>
      <w:r>
        <w:rPr>
          <w:lang w:eastAsia="zh-CN"/>
        </w:rPr>
        <w:t>基于特征的迁移学习方法被学术界广泛地研究，在工业界也有大规模应用。基于模型的迁移学习方法在深度学习中经常使用，</w:t>
      </w:r>
      <w:proofErr w:type="gramStart"/>
      <w:r>
        <w:rPr>
          <w:lang w:eastAsia="zh-CN"/>
        </w:rPr>
        <w:t>如预训练</w:t>
      </w:r>
      <w:proofErr w:type="gramEnd"/>
      <w:r>
        <w:rPr>
          <w:lang w:eastAsia="zh-CN"/>
        </w:rPr>
        <w:t>-</w:t>
      </w:r>
      <w:r>
        <w:rPr>
          <w:lang w:eastAsia="zh-CN"/>
        </w:rPr>
        <w:t>微调。基于关系的迁移学习方法研究很少。</w:t>
      </w:r>
    </w:p>
    <w:p w14:paraId="6CAA33BF" w14:textId="0B498CB7" w:rsidR="00A906CC" w:rsidRDefault="00000000">
      <w:pPr>
        <w:pStyle w:val="a0"/>
        <w:rPr>
          <w:lang w:eastAsia="zh-CN"/>
        </w:rPr>
      </w:pPr>
      <w:r>
        <w:rPr>
          <w:lang w:eastAsia="zh-CN"/>
        </w:rPr>
        <w:lastRenderedPageBreak/>
        <w:t>以上的总结</w:t>
      </w:r>
      <w:r>
        <w:rPr>
          <w:lang w:eastAsia="zh-CN"/>
        </w:rPr>
        <w:t>[1]</w:t>
      </w:r>
      <w:r w:rsidR="00B32F27" w:rsidRPr="00B32F27">
        <w:rPr>
          <w:noProof/>
          <w:lang w:eastAsia="zh-CN"/>
        </w:rPr>
        <w:t xml:space="preserve"> </w:t>
      </w:r>
      <w:r w:rsidR="00B32F27">
        <w:rPr>
          <w:noProof/>
        </w:rPr>
        <w:drawing>
          <wp:inline distT="0" distB="0" distL="0" distR="0" wp14:anchorId="1FA7FDC2" wp14:editId="2049062C">
            <wp:extent cx="5486400" cy="22218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1316" w14:textId="77777777" w:rsidR="00B32F27" w:rsidRDefault="00000000">
      <w:pPr>
        <w:pStyle w:val="a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、根据目标与有无标签，可以分为有监督迁移学习、</w:t>
      </w:r>
      <w:proofErr w:type="gramStart"/>
      <w:r>
        <w:rPr>
          <w:lang w:eastAsia="zh-CN"/>
        </w:rPr>
        <w:t>半监督</w:t>
      </w:r>
      <w:proofErr w:type="gramEnd"/>
      <w:r>
        <w:rPr>
          <w:lang w:eastAsia="zh-CN"/>
        </w:rPr>
        <w:t>迁移学习和无监督迁移学习。无监督和</w:t>
      </w:r>
      <w:proofErr w:type="gramStart"/>
      <w:r>
        <w:rPr>
          <w:lang w:eastAsia="zh-CN"/>
        </w:rPr>
        <w:t>半监督</w:t>
      </w:r>
      <w:proofErr w:type="gramEnd"/>
      <w:r>
        <w:rPr>
          <w:lang w:eastAsia="zh-CN"/>
        </w:rPr>
        <w:t>是研究的热点和难点。</w:t>
      </w:r>
      <w:r>
        <w:rPr>
          <w:lang w:eastAsia="zh-CN"/>
        </w:rPr>
        <w:t xml:space="preserve"> </w:t>
      </w:r>
    </w:p>
    <w:p w14:paraId="5890131B" w14:textId="2C7E7AE3" w:rsidR="00A906CC" w:rsidRDefault="00000000">
      <w:pPr>
        <w:pStyle w:val="a0"/>
        <w:rPr>
          <w:lang w:eastAsia="zh-CN"/>
        </w:rPr>
      </w:pPr>
      <w:r>
        <w:rPr>
          <w:lang w:eastAsia="zh-CN"/>
        </w:rPr>
        <w:t>5</w:t>
      </w:r>
      <w:r>
        <w:rPr>
          <w:lang w:eastAsia="zh-CN"/>
        </w:rPr>
        <w:t>、根据在线和离线的形式分类，分为离线迁移学习和在线迁移学习。</w:t>
      </w:r>
      <w:r>
        <w:rPr>
          <w:lang w:eastAsia="zh-CN"/>
        </w:rPr>
        <w:t xml:space="preserve"> </w:t>
      </w:r>
      <w:r>
        <w:rPr>
          <w:lang w:eastAsia="zh-CN"/>
        </w:rPr>
        <w:t>目前的大多数方法是离线的，</w:t>
      </w:r>
      <w:proofErr w:type="gramStart"/>
      <w:r>
        <w:rPr>
          <w:lang w:eastAsia="zh-CN"/>
        </w:rPr>
        <w:t>即源域和目标域均一次</w:t>
      </w:r>
      <w:proofErr w:type="gramEnd"/>
      <w:r>
        <w:rPr>
          <w:lang w:eastAsia="zh-CN"/>
        </w:rPr>
        <w:t>给定，只迁移一次。</w:t>
      </w:r>
      <w:r>
        <w:rPr>
          <w:lang w:eastAsia="zh-CN"/>
        </w:rPr>
        <w:t xml:space="preserve"> </w:t>
      </w:r>
      <w:r>
        <w:rPr>
          <w:lang w:eastAsia="zh-CN"/>
        </w:rPr>
        <w:t>在线迁移的数据可以一直加入，可以迁移多次。</w:t>
      </w:r>
    </w:p>
    <w:p w14:paraId="2A39E23B" w14:textId="77777777" w:rsidR="00A906CC" w:rsidRDefault="00000000">
      <w:pPr>
        <w:pStyle w:val="a0"/>
        <w:rPr>
          <w:lang w:eastAsia="zh-CN"/>
        </w:rPr>
      </w:pPr>
      <w:r>
        <w:rPr>
          <w:lang w:eastAsia="zh-CN"/>
        </w:rPr>
        <w:t>三、迁移学习方法总结（包括在第二点的第</w:t>
      </w:r>
      <w:r>
        <w:rPr>
          <w:lang w:eastAsia="zh-CN"/>
        </w:rPr>
        <w:t>3</w:t>
      </w:r>
      <w:r>
        <w:rPr>
          <w:lang w:eastAsia="zh-CN"/>
        </w:rPr>
        <w:t>条）</w:t>
      </w:r>
    </w:p>
    <w:sectPr w:rsidR="00A906C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C75A6" w14:textId="77777777" w:rsidR="00AD45AE" w:rsidRDefault="00AD45AE">
      <w:pPr>
        <w:spacing w:after="0"/>
      </w:pPr>
      <w:r>
        <w:separator/>
      </w:r>
    </w:p>
  </w:endnote>
  <w:endnote w:type="continuationSeparator" w:id="0">
    <w:p w14:paraId="30019642" w14:textId="77777777" w:rsidR="00AD45AE" w:rsidRDefault="00AD45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AC0C7" w14:textId="77777777" w:rsidR="00AD45AE" w:rsidRDefault="00AD45AE">
      <w:r>
        <w:separator/>
      </w:r>
    </w:p>
  </w:footnote>
  <w:footnote w:type="continuationSeparator" w:id="0">
    <w:p w14:paraId="1BAE973B" w14:textId="77777777" w:rsidR="00AD45AE" w:rsidRDefault="00AD4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15E993"/>
    <w:multiLevelType w:val="multilevel"/>
    <w:tmpl w:val="CA2C95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C5A8B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3649006">
    <w:abstractNumId w:val="1"/>
  </w:num>
  <w:num w:numId="2" w16cid:durableId="106078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906CC"/>
    <w:rsid w:val="00AD45AE"/>
    <w:rsid w:val="00B32F2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274BE"/>
  <w15:docId w15:val="{7FCA7E7E-0B2D-4884-B885-E8B0B498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B32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B32F27"/>
    <w:rPr>
      <w:sz w:val="18"/>
      <w:szCs w:val="18"/>
    </w:rPr>
  </w:style>
  <w:style w:type="paragraph" w:styleId="af0">
    <w:name w:val="footer"/>
    <w:basedOn w:val="a"/>
    <w:link w:val="af1"/>
    <w:unhideWhenUsed/>
    <w:rsid w:val="00B32F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B32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ming lin</cp:lastModifiedBy>
  <cp:revision>2</cp:revision>
  <dcterms:created xsi:type="dcterms:W3CDTF">2023-02-11T06:11:00Z</dcterms:created>
  <dcterms:modified xsi:type="dcterms:W3CDTF">2023-02-11T06:15:00Z</dcterms:modified>
</cp:coreProperties>
</file>