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pStyle w:val="Ttulo"/>
        <w:spacing w:after="240"/>
        <w:jc w:val="center"/>
      </w:pPr>
      <w:r>
        <w:rPr>
          <w:rFonts w:ascii="Times New Roman" w:hAnsi="Times New Roman"/>
          <w:b/>
          <w:i w:val="0"/>
          <w:color w:val="000000"/>
          <w:sz w:val="28"/>
        </w:rPr>
        <w:t>MedConnect Desenvolvimento de um Protótipo de Plataforma Web para Agendamento e Teleatendimento em Clínicas Online</w:t>
      </w:r>
    </w:p>
    <w:p>
      <w:pPr>
        <w:spacing w:after="240"/>
        <w:jc w:val="center"/>
      </w:pPr>
      <w:r>
        <w:rPr>
          <w:rFonts w:ascii="Times New Roman" w:hAnsi="Times New Roman"/>
          <w:b w:val="0"/>
          <w:i w:val="0"/>
          <w:color w:val="000000"/>
          <w:sz w:val="22"/>
        </w:rPr>
        <w:t>Davi Grigato Escano Rodrigues; Gustavo Queiroz Lacerda; Rafael Teixeira dos Santos</w:t>
      </w:r>
    </w:p>
    <w:p>
      <w:pPr>
        <w:spacing w:after="240"/>
        <w:jc w:val="center"/>
      </w:pPr>
      <w:r>
        <w:rPr>
          <w:rFonts w:ascii="Times New Roman" w:hAnsi="Times New Roman"/>
          <w:b w:val="0"/>
          <w:i/>
          <w:color w:val="000000"/>
          <w:sz w:val="20"/>
        </w:rPr>
        <w:t>Discentes do Curso de Sistemas de Informação - UGB/FERP</w:t>
      </w:r>
    </w:p>
    <w:p>
      <w:pPr>
        <w:spacing w:line="360" w:lineRule="auto" w:after="120"/>
        <w:jc w:val="both"/>
      </w:pPr>
      <w:r>
        <w:t>Resumo: Este artigo apresenta o desenvolvimento da MedConnect, um protótipo de plataforma web responsiva para apoiar o acesso remoto do paciente às etapas de organização do atendimento médico. A proposta reúne descoberta de profissionais, seleção de horário fictício, fila virtual, área de atendimento, perfil e registros fictícios em uma única interface. Busca-se reduzir a necessidade de deslocamento presencial para atividades que podem ser mediadas digitalmente, como obter informações, selecionar um profissional e acompanhar uma solicitação. A pesquisa possui natureza aplicada e adota o desenvolvimento incremental de um protótipo funcional. A implementação utiliza React, Tailwind CSS, Framer Motion, Lucide React, PostgreSQL disponibilizado pelo Supabase, Supabase Auth, Supabase Storage, a biblioteca supabase-js e publicação estática na Vercel. Como evoluções verificadas, foram implementados cadastro e login de contas de teste, agendamento persistido de horários fictícios, fila vinculada à consulta, chat privado persistido e anexos privados vinculados à consulta. A versão foi publicada em endereço web e os fluxos foram verificados com dados exclusivamente fictícios. Os resultados se restringem à implementação e à verificação técnica do protótipo; não correspondem à implantação de uma clínica, à realização de teleconsultas ou ao tratamento de dados reais de saúde.</w:t>
      </w:r>
    </w:p>
    <w:p>
      <w:pPr>
        <w:spacing w:after="240"/>
      </w:pPr>
      <w:r>
        <w:rPr>
          <w:rFonts w:ascii="Times New Roman" w:hAnsi="Times New Roman"/>
          <w:b/>
          <w:i w:val="0"/>
          <w:color w:val="000000"/>
          <w:sz w:val="24"/>
        </w:rPr>
        <w:t xml:space="preserve">Palavras-chave: </w:t>
      </w:r>
      <w:r>
        <w:rPr>
          <w:rFonts w:ascii="Times New Roman" w:hAnsi="Times New Roman"/>
          <w:b w:val="0"/>
          <w:i w:val="0"/>
          <w:color w:val="000000"/>
          <w:sz w:val="24"/>
        </w:rPr>
        <w:t>telemedicina; saúde digital; desenvolvimento web; experiência do usuário; banco de dados.</w:t>
      </w:r>
    </w:p>
    <w:p>
      <w:pPr>
        <w:pStyle w:val="Ttulo1"/>
        <w:keepNext/>
        <w:ind w:firstLine="0"/>
        <w:jc w:val="left"/>
      </w:pPr>
      <w:r>
        <w:rPr>
          <w:rFonts w:ascii="Times New Roman" w:hAnsi="Times New Roman"/>
          <w:b/>
          <w:i w:val="0"/>
          <w:color w:val="000000"/>
          <w:sz w:val="24"/>
        </w:rPr>
        <w:t>1 INTRODUÇÃO</w:t>
      </w:r>
    </w:p>
    <w:p>
      <w:pPr>
        <w:spacing w:line="360" w:lineRule="auto" w:before="0" w:after="0"/>
        <w:ind w:firstLine="709"/>
        <w:jc w:val="both"/>
      </w:pPr>
      <w:r>
        <w:rPr>
          <w:rFonts w:ascii="Times New Roman" w:hAnsi="Times New Roman"/>
          <w:b w:val="0"/>
          <w:i w:val="0"/>
          <w:color w:val="000000"/>
          <w:sz w:val="24"/>
        </w:rPr>
        <w:t>A ampliação do uso de tecnologias digitais no setor de saúde tem criado novas possibilidades para organizar o acesso à informação e aproximar pacientes e profissionais. A Estratégia Global de Saúde Digital da Organização Mundial da Saúde destaca que iniciativas digitais precisam articular recursos tecnológicos, humanos, financeiros e organizacionais para gerar benefícios sustentáveis (WORLD HEALTH ORGANIZATION, 2021). Nesse cenário, soluções de teleatendimento dependem não apenas de videoconferência, mas também de fluxos compreensíveis para descoberta de profissionais, agendamento, comunicação e acompanhamento do usuário.</w:t>
      </w:r>
    </w:p>
    <w:p>
      <w:pPr>
        <w:spacing w:line="360" w:lineRule="auto" w:before="0" w:after="0"/>
        <w:ind w:firstLine="709"/>
        <w:jc w:val="both"/>
      </w:pPr>
      <w:r>
        <w:rPr>
          <w:rFonts w:ascii="Times New Roman" w:hAnsi="Times New Roman"/>
          <w:b w:val="0"/>
          <w:i w:val="0"/>
          <w:color w:val="000000"/>
          <w:sz w:val="24"/>
        </w:rPr>
        <w:t>No Brasil, a Lei nº 14.510/2022 autorizou e disciplinou a prática da telessaúde em todo o território nacional, prevendo, entre outros princípios, a autonomia profissional e o consentimento livre e informado do paciente (BRASIL, 2022a). A Resolução CFM nº 2.314/2022 também regula a telemedicina como forma de serviços médicos mediados por tecnologias de comunicação (CONSELHO FEDERAL DE MEDICINA, 2022). Esses marcos reforçam que clareza de informação, privacidade e responsabilidade profissional precisam orientar o desenho de plataformas voltadas a esse contexto.</w:t>
      </w:r>
    </w:p>
    <w:p>
      <w:pPr>
        <w:spacing w:line="360" w:lineRule="auto" w:before="0" w:after="0"/>
        <w:ind w:firstLine="709"/>
        <w:jc w:val="both"/>
      </w:pPr>
      <w:r>
        <w:rPr>
          <w:rFonts w:ascii="Times New Roman" w:hAnsi="Times New Roman"/>
          <w:b w:val="0"/>
          <w:color w:val="000000"/>
          <w:sz w:val="24"/>
        </w:rPr>
        <w:t>Diante desse contexto, o problema de pesquisa consiste em compreender como o desenvolvimento de um protótipo de plataforma web responsiva pode contribuir para organizar o acesso remoto do paciente a etapas do atendimento médico, reduzindo a necessidade de deslocamento presencial para atividades que podem ser realizadas digitalmente. A MedConnect é delimitada como um protótipo acadêmico: ela apresenta fluxos e interações com dados fictícios, sem operar como clínica, realizar consultas ou receber informações clínicas reais.</w:t>
      </w:r>
    </w:p>
    <w:p>
      <w:pPr>
        <w:spacing w:line="360" w:lineRule="auto" w:before="0" w:after="0"/>
        <w:ind w:firstLine="709"/>
        <w:jc w:val="both"/>
      </w:pPr>
      <w:r>
        <w:rPr>
          <w:rFonts w:ascii="Times New Roman" w:hAnsi="Times New Roman"/>
          <w:b w:val="0"/>
          <w:color w:val="000000"/>
          <w:sz w:val="24"/>
        </w:rPr>
        <w:t>O estudo se justifica socialmente por explorar formas de tornar a organização do atendimento remoto mais compreensível e acessível a pessoas que enfrentam distância geográfica, limitações de mobilidade ou dificuldades de conciliar deslocamentos com a rotina. Tecnologicamente, aplica recursos de desenvolvimento web responsivo e integração inicial com banco de dados para organizar informações em computador e celular. Acadêmica e profissionalmente, articula conhecimentos de requisitos, interface, experiência do usuário e proteção de dados em um contexto relevante de saúde digital.</w:t>
      </w:r>
    </w:p>
    <w:p>
      <w:pPr>
        <w:spacing w:line="360" w:lineRule="auto" w:before="0" w:after="0"/>
        <w:ind w:firstLine="709"/>
        <w:jc w:val="both"/>
      </w:pPr>
      <w:r>
        <w:rPr>
          <w:rFonts w:ascii="Times New Roman" w:hAnsi="Times New Roman"/>
          <w:b w:val="0"/>
          <w:color w:val="000000"/>
          <w:sz w:val="24"/>
        </w:rPr>
        <w:t>O objetivo geral é desenvolver um protótipo de plataforma web responsiva para apoiar o acesso remoto do paciente às etapas de organização do atendimento médico, reunindo descoberta de profissionais, agendamento demonstrativo, acompanhamento da espera e acesso orientado ao teleatendimento, com o propósito de reduzir a necessidade de deslocamento presencial para atividades que podem ser mediadas digitalmente. Como objetivos específicos, busca-se: apresentar especialidades e profissionais fictícios; estruturar o fluxo demonstrativo de agendamento e fila virtual; disponibilizar perfil, registros e comunicação demonstrativos; aplicar práticas de interface responsiva e clara; e registrar as limitações e os requisitos necessários a uma futura evolução segura.</w:t>
      </w:r>
    </w:p>
    <w:p>
      <w:pPr>
        <w:spacing w:line="360" w:lineRule="auto" w:before="0" w:after="0"/>
        <w:ind w:firstLine="709"/>
        <w:jc w:val="both"/>
      </w:pPr>
      <w:r>
        <w:rPr>
          <w:rFonts w:ascii="Times New Roman" w:hAnsi="Times New Roman"/>
          <w:b w:val="0"/>
          <w:i w:val="0"/>
          <w:color w:val="000000"/>
          <w:sz w:val="24"/>
        </w:rPr>
        <w:t>A pesquisa é de natureza aplicada, com abordagem qualitativa para definição de requisitos, e utiliza o desenvolvimento incremental do protótipo como procedimento técnico. O Capítulo 2 apresenta os pressupostos teóricos; o Capítulo 3 descreve os materiais e métodos; o Capítulo 4 analisa e discute os resultados obtidos; e o Capítulo 5 apresenta as considerações finais, as limitações e as possibilidades de continuidade.</w:t>
      </w:r>
    </w:p>
    <w:p>
      <w:pPr>
        <w:pStyle w:val="Ttulo1"/>
        <w:keepNext/>
        <w:ind w:firstLine="0"/>
        <w:jc w:val="left"/>
      </w:pPr>
      <w:r>
        <w:rPr>
          <w:rFonts w:ascii="Times New Roman" w:hAnsi="Times New Roman"/>
          <w:b/>
          <w:i w:val="0"/>
          <w:color w:val="000000"/>
          <w:sz w:val="24"/>
        </w:rPr>
        <w:t>2 PRESSUPOSTOS TEÓRICOS</w:t>
      </w:r>
    </w:p>
    <w:p>
      <w:pPr>
        <w:pStyle w:val="Ttulo2"/>
        <w:keepNext/>
        <w:ind w:firstLine="0"/>
        <w:jc w:val="left"/>
      </w:pPr>
      <w:r>
        <w:rPr>
          <w:rFonts w:ascii="Times New Roman" w:hAnsi="Times New Roman"/>
          <w:b/>
          <w:i w:val="0"/>
          <w:color w:val="000000"/>
          <w:sz w:val="24"/>
        </w:rPr>
        <w:t>2.1 Saúde digital, telemedicina e plataformas web aplicadas à saúde</w:t>
      </w:r>
    </w:p>
    <w:p>
      <w:pPr>
        <w:spacing w:line="360" w:lineRule="auto" w:before="0" w:after="0"/>
        <w:ind w:firstLine="709"/>
        <w:jc w:val="both"/>
      </w:pPr>
      <w:r>
        <w:rPr>
          <w:rFonts w:ascii="Times New Roman" w:hAnsi="Times New Roman"/>
          <w:b w:val="0"/>
          <w:i w:val="0"/>
          <w:color w:val="000000"/>
          <w:sz w:val="24"/>
        </w:rPr>
        <w:t>A saúde digital compreende o uso de recursos digitais para apoiar atividades relacionadas à saúde. Em uma plataforma web para teleatendimento, o serviço percebido pelo paciente começa antes da consulta: é necessário reconhecer especialidades, compreender informações disponíveis, confirmar uma solicitação e localizar o meio de acesso ao atendimento. Dessa forma, a plataforma pode atuar como camada de organização da jornada, sem substituir a avaliação e a decisão do profissional de saúde.</w:t>
      </w:r>
    </w:p>
    <w:p>
      <w:pPr>
        <w:spacing w:line="360" w:lineRule="auto" w:before="0" w:after="0"/>
        <w:ind w:firstLine="709"/>
        <w:jc w:val="both"/>
      </w:pPr>
      <w:r>
        <w:t>O recorte da MedConnect privilegia tarefas administrativas e comunicacionais em ambiente demonstrativo. A aplicação oferece cadastro e login para pacientes de teste e uma área profissional restrita, vinculada administrativamente a um profissional fictício do catálogo. As mensagens ficam associadas a uma consulta específica e o profissional pode enviar um link HTTPS de uma plataforma externa de videochamada. O sistema não incorpora fornecedor de vídeo, prontuário eletrônico, prescrição digital ou mecanismo de uso clínico. Essa delimitação evita que o protótipo seja interpretado como um serviço de saúde pronto para uso clínico.</w:t>
      </w:r>
    </w:p>
    <w:p>
      <w:pPr>
        <w:pStyle w:val="Ttulo2"/>
        <w:keepNext/>
        <w:ind w:firstLine="0"/>
        <w:jc w:val="left"/>
      </w:pPr>
      <w:r>
        <w:rPr>
          <w:rFonts w:ascii="Times New Roman" w:hAnsi="Times New Roman"/>
          <w:b/>
          <w:i w:val="0"/>
          <w:color w:val="000000"/>
          <w:sz w:val="24"/>
        </w:rPr>
        <w:t>2.2 Experiência do usuário, usabilidade e design responsivo</w:t>
      </w:r>
    </w:p>
    <w:p>
      <w:pPr>
        <w:spacing w:line="360" w:lineRule="auto" w:before="0" w:after="0"/>
        <w:ind w:firstLine="709"/>
        <w:jc w:val="both"/>
      </w:pPr>
      <w:r>
        <w:rPr>
          <w:rFonts w:ascii="Times New Roman" w:hAnsi="Times New Roman"/>
          <w:b w:val="0"/>
          <w:i w:val="0"/>
          <w:color w:val="000000"/>
          <w:sz w:val="24"/>
        </w:rPr>
        <w:t>Interfaces voltadas à saúde exigem hierarquia visual, linguagem direta e ações previsíveis, pois os usuários podem acessá-las em situações de dúvida ou ansiedade. A MedConnect utiliza espaços em branco, contraste, cartões de leitura rápida e botões com áreas de toque confortáveis para reduzir o esforço de interpretação. A navegação reúne somente as opções necessárias em cada momento, seguindo o princípio de revelar detalhes progressivamente.</w:t>
      </w:r>
    </w:p>
    <w:p>
      <w:pPr>
        <w:spacing w:line="360" w:lineRule="auto" w:before="0" w:after="0"/>
        <w:ind w:firstLine="709"/>
        <w:jc w:val="both"/>
      </w:pPr>
      <w:r>
        <w:rPr>
          <w:rFonts w:ascii="Times New Roman" w:hAnsi="Times New Roman"/>
          <w:b w:val="0"/>
          <w:i w:val="0"/>
          <w:color w:val="000000"/>
          <w:sz w:val="24"/>
        </w:rPr>
        <w:t>O design responsivo é parte desse requisito: um fluxo que funciona apenas em telas amplas restringe o acesso de pessoas que dependem do telefone. Por isso, a implementação é organizada com abordagem mobile first, com grades e elementos que se reorganizam conforme a largura disponível. Animações discretas são usadas como feedback de interação, e não como elemento decorativo que prejudique a leitura.</w:t>
      </w:r>
    </w:p>
    <w:p>
      <w:pPr>
        <w:pStyle w:val="Ttulo2"/>
        <w:keepNext/>
        <w:ind w:firstLine="0"/>
        <w:jc w:val="left"/>
      </w:pPr>
      <w:r>
        <w:rPr>
          <w:rFonts w:ascii="Times New Roman" w:hAnsi="Times New Roman"/>
          <w:b/>
          <w:i w:val="0"/>
          <w:color w:val="000000"/>
          <w:sz w:val="24"/>
        </w:rPr>
        <w:t>2.3 Privacidade, proteção de dados e limites do protótipo</w:t>
      </w:r>
    </w:p>
    <w:p>
      <w:pPr>
        <w:spacing w:line="360" w:lineRule="auto" w:before="0" w:after="0"/>
        <w:ind w:firstLine="709"/>
        <w:jc w:val="both"/>
      </w:pPr>
      <w:r>
        <w:t>Dados referentes à saúde são classificados como dados pessoais sensíveis pela Lei Geral de Proteção de Dados Pessoais - LGPD (BRASIL, 2018). A lei também estabelece princípios como finalidade, adequação e necessidade para o tratamento de dados. Por esse motivo, o protótipo utiliza exclusivamente informações fictícias. A integração com banco de dados abrange a leitura de profissionais, o vínculo entre contas de teste e perfis básicos, o registro de consulta, a fila associada, as mensagens privadas e os metadados de anexos vinculados à consulta. Os arquivos demonstrativos são mantidos em armazenamento privado e podem representar, apenas no cenário acadêmico, resultados de exame, imagens, receitas ou solicitações. Não foram utilizados dados clínicos, documentos, CPF, endereço ou informações reais de pacientes.</w:t>
      </w:r>
    </w:p>
    <w:p>
      <w:pPr>
        <w:spacing w:line="360" w:lineRule="auto" w:before="0" w:after="0"/>
        <w:ind w:firstLine="709"/>
        <w:jc w:val="both"/>
      </w:pPr>
      <w:r>
        <w:t>Embora o protótipo já possua autenticação inicial, persistência de consultas, comunicação privada e anexos demonstrativos entre contas de teste vinculadas, uma evolução para uso público exigirá, entre outros controles, autorização adequada a cada tipo de dado, registro de consentimento, política de privacidade, trilhas de auditoria, cópias de segurança e definição formal de responsabilidades. As regras atuais restringem catálogo, perfil, consulta, fila, mensagens e arquivos conforme o papel e o vínculo demonstrativo; elas não devem ser interpretadas como solução geral de segurança para prontuários ou operação clínica.</w:t>
      </w:r>
    </w:p>
    <w:p>
      <w:pPr>
        <w:pStyle w:val="Ttulo2"/>
        <w:keepNext/>
        <w:ind w:firstLine="0"/>
        <w:jc w:val="left"/>
      </w:pPr>
      <w:r>
        <w:rPr>
          <w:rFonts w:ascii="Times New Roman" w:hAnsi="Times New Roman"/>
          <w:b/>
          <w:i w:val="0"/>
          <w:color w:val="000000"/>
          <w:sz w:val="24"/>
        </w:rPr>
        <w:t>2.4 Tecnologias utilizadas no desenvolvimento da MedConnect</w:t>
      </w:r>
    </w:p>
    <w:p>
      <w:pPr>
        <w:spacing w:line="360" w:lineRule="auto" w:before="0" w:after="0"/>
        <w:ind w:firstLine="709"/>
        <w:jc w:val="both"/>
      </w:pPr>
      <w:r>
        <w:t>O protótipo é desenvolvido em React para composição de componentes reutilizáveis e controle de estado das telas. O Tailwind CSS organiza regras visuais responsivas; o Framer Motion fornece transições e feedbacks visuais; e o Lucide React mantém consistência nos ícones de interface. Para a camada de dados, foi utilizado PostgreSQL disponibilizado pelo Supabase e a biblioteca supabase-js. O Supabase Auth apoia o cadastro e login por e-mail e senha das contas de teste; as políticas de Row Level Security definem quais registros cada sessão pode ler ou inserir. O Supabase Storage foi empregado em um bucket privado para manter os anexos demonstrativos e gerar URLs temporárias de download apenas após a autorização da sessão. A Vercel publica a aplicação Vite, facilitando o acesso externo ao mesmo ambiente de demonstração sem depender do servidor local (SUPABASE, [s. d.]; VERCEL, [s. d.]).</w:t>
      </w:r>
    </w:p>
    <w:p>
      <w:pPr>
        <w:pStyle w:val="Ttulo1"/>
        <w:keepNext/>
        <w:ind w:firstLine="0"/>
        <w:jc w:val="left"/>
      </w:pPr>
      <w:r>
        <w:rPr>
          <w:rFonts w:ascii="Times New Roman" w:hAnsi="Times New Roman"/>
          <w:b/>
          <w:i w:val="0"/>
          <w:color w:val="000000"/>
          <w:sz w:val="24"/>
        </w:rPr>
        <w:t>3 METODOLOGIA</w:t>
      </w:r>
    </w:p>
    <w:p>
      <w:pPr>
        <w:pStyle w:val="Ttulo2"/>
        <w:keepNext/>
        <w:ind w:firstLine="0"/>
        <w:jc w:val="left"/>
      </w:pPr>
      <w:r>
        <w:rPr>
          <w:rFonts w:ascii="Times New Roman" w:hAnsi="Times New Roman"/>
          <w:b/>
          <w:i w:val="0"/>
          <w:color w:val="000000"/>
          <w:sz w:val="24"/>
        </w:rPr>
        <w:t>3.1 Natureza da pesquisa e procedimento técnico</w:t>
      </w:r>
    </w:p>
    <w:p>
      <w:pPr>
        <w:spacing w:line="360" w:lineRule="auto" w:before="0" w:after="0"/>
        <w:ind w:firstLine="709"/>
        <w:jc w:val="both"/>
      </w:pPr>
      <w:r>
        <w:rPr>
          <w:rFonts w:ascii="Times New Roman" w:hAnsi="Times New Roman"/>
          <w:b w:val="0"/>
          <w:i w:val="0"/>
          <w:color w:val="000000"/>
          <w:sz w:val="24"/>
        </w:rPr>
        <w:t>A pesquisa é de natureza aplicada, com abordagem qualitativa para definição de requisitos e orientação do desenvolvimento de software. O procedimento técnico adotado é a construção incremental de um protótipo funcional. Em cada ciclo, uma necessidade da jornada do paciente é transformada em tela, interação, critério de verificação e registro acadêmico compatível com a evidência obtida.</w:t>
      </w:r>
    </w:p>
    <w:p>
      <w:pPr>
        <w:pStyle w:val="Ttulo2"/>
        <w:keepNext/>
        <w:ind w:firstLine="0"/>
        <w:jc w:val="left"/>
      </w:pPr>
      <w:r>
        <w:rPr>
          <w:rFonts w:ascii="Times New Roman" w:hAnsi="Times New Roman"/>
          <w:b/>
          <w:i w:val="0"/>
          <w:color w:val="000000"/>
          <w:sz w:val="24"/>
        </w:rPr>
        <w:t>3.2 Levantamento e delimitação dos requisitos</w:t>
      </w:r>
    </w:p>
    <w:p>
      <w:pPr>
        <w:spacing w:line="360" w:lineRule="auto" w:before="0" w:after="0"/>
        <w:ind w:firstLine="709"/>
        <w:jc w:val="both"/>
      </w:pPr>
      <w:r>
        <w:t>Foram definidos como requisitos funcionais iniciais: permitir cadastro e login de paciente de teste; apresentar profissionais e especialidades; consultar horários fictícios; reservar uma consulta vinculada ao paciente autenticado e ao profissional selecionado; exibir uma fila virtual vinculada à própria consulta; permitir mensagens privadas entre o paciente e o profissional associado; permitir o compartilhamento de um link HTTPS de videochamada externa; permitir que o paciente anexe resultados de exame, imagens ou outros arquivos demonstrativos e que o profissional anexe receitas, solicitações de exame ou outros documentos demonstrativos; disponibilizar histórico e registros fictícios; e editar dados básicos de perfil. Como requisitos não funcionais, foram priorizados responsividade, contraste, navegação clara, áreas clicáveis adequadas, retorno visual às ações do usuário, restrição de acesso ao perfil, às consultas, à fila, às mensagens e aos anexos vinculados à conta autenticada, além da prevenção de conflito entre reservas.</w:t>
      </w:r>
    </w:p>
    <w:p>
      <w:pPr>
        <w:pStyle w:val="Ttulo2"/>
        <w:keepNext/>
        <w:ind w:firstLine="0"/>
        <w:jc w:val="left"/>
      </w:pPr>
      <w:r>
        <w:rPr>
          <w:rFonts w:ascii="Times New Roman" w:hAnsi="Times New Roman"/>
          <w:b/>
          <w:i w:val="0"/>
          <w:color w:val="000000"/>
          <w:sz w:val="24"/>
        </w:rPr>
        <w:t>3.3 Implementação do protótipo</w:t>
      </w:r>
    </w:p>
    <w:p>
      <w:pPr>
        <w:spacing w:line="360" w:lineRule="auto" w:before="0" w:after="0"/>
        <w:ind w:firstLine="709"/>
        <w:jc w:val="both"/>
      </w:pPr>
      <w:r>
        <w:t>O projeto utiliza React para separar a interface em componentes reutilizáveis e controlar o estado de telas, formulários, perfil e conversa da consulta. O Tailwind CSS organiza as regras visuais por classes utilitárias e pontos de quebra responsivos. O Framer Motion é empregado nas transições de navegação, cartões e indicadores de interface. Os ícones são fornecidos por Lucide React. A persistência de campos demonstrativos exibidos na área de perfil permanece restrita ao localStorage do navegador; as mensagens e os metadados dos anexos, por sua vez, são persistidos no banco. Os arquivos são enviados ao bucket privado appointment-documents, com formatos PDF, JPEG e PNG e limite de 5 MB definidos no banco e validados também pela interface.</w:t>
      </w:r>
    </w:p>
    <w:p>
      <w:pPr>
        <w:spacing w:line="360" w:lineRule="auto" w:before="0" w:after="0"/>
        <w:ind w:firstLine="709"/>
        <w:jc w:val="both"/>
      </w:pPr>
      <w:r>
        <w:rPr>
          <w:rFonts w:ascii="Times New Roman" w:hAnsi="Times New Roman"/>
          <w:b w:val="0"/>
          <w:i w:val="0"/>
          <w:color w:val="000000"/>
          <w:sz w:val="24"/>
        </w:rPr>
        <w:t>Na evolução da camada de dados, foi criado no Supabase um catálogo fictício na tabela professionals, com os campos id, name, specialty e description. A tabela utiliza Row Level Security e uma política de leitura para os papéis anon e authenticated. A aplicação consulta esse catálogo por meio da biblioteca supabase-js e apresenta estados de carregamento, ausência de registros e erro. Também foi utilizado o Supabase Auth para cadastrar e autenticar contas de paciente de teste por e-mail e senha. A tabela profiles associa cada conta a um nome de teste e ao papel patient; uma função acionada no cadastro cria esse perfil. As regras de Row Level Security permitem que a conta autenticada leia e atualize apenas o próprio perfil, sem permissão de escrita no catálogo.</w:t>
        <w:br/>
        <w:br/>
        <w:t>Na etapa de agendamento, foram criadas as tabelas availability_slots e appointments. A primeira armazena horários fictícios vinculados aos profissionais do catálogo; a segunda associa cada reserva ao paciente autenticado, ao profissional e ao horário escolhido. A aplicação consulta apenas horários disponíveis e chama a função book_appointment para concluir a reserva. Essa função bloqueia a vaga durante a operação, impede a reserva duplicada do mesmo horário e verifica se o paciente já possui consulta ativa em intervalo sobreposto. As consultas podem ser lidas apenas por seu próprio paciente; a aplicação não concede inserção direta nas tabelas ao navegador.</w:t>
      </w:r>
    </w:p>
    <w:p>
      <w:pPr/>
      <w:r>
        <w:t>Na etapa de fila, foi criada a tabela appointment_queue. Uma rotina do banco cria uma linha de fila quando uma consulta demonstrativa é reservada. A linha registra a posição e o status de espera; suas regras de Row Level Security permitem que o paciente autenticado consulte somente a fila associada à própria conta. A tela de sala de espera passou a carregar essa informação remota e a oferecer atualização manual, sem conceder alteração da fila ao navegador.</w:t>
        <w:br/>
        <w:br/>
        <w:t>Na etapa de comunicação, a tabela appointment_messages foi criada para armazenar mensagens e, opcionalmente, um link HTTPS de reunião externa. Uma conta criada pelo mesmo fluxo de cadastro pode ser classificada administrativamente como profissional de teste e associada a um registro fictício do catálogo. As políticas de acesso permitem que o paciente leia e envie mensagens somente em sua consulta e que o profissional leia e responda somente as consultas vinculadas ao seu perfil. A interface profissional foi mantida propositalmente reduzida a início e atendimento, pois agendamento, fila e registros pertencem ao fluxo do paciente. Para exibir o nome do paciente ao profissional sem torná-lo visível para contas externas, foi aplicada uma regra de banco baseada no vínculo da consulta. Durante a verificação, uma versão inicial dessa regra apresentou recursão entre políticas e foi substituída por uma função controlada pelo banco, seguida de novo teste bem-sucedido.</w:t>
      </w:r>
    </w:p>
    <w:p>
      <w:pPr/>
      <w:r>
        <w:t>Para disponibilização externa, o código foi versionado em repositório Git e publicado pela Vercel em uma aplicação Vite. As variáveis públicas de conexão com o Supabase foram configuradas no ambiente de publicação, sem incluir credenciais administrativas no código do cliente. No Supabase, a URL pública da aplicação e a URL de desenvolvimento local foram cadastradas como destinos permitidos de autenticação. A publicação permitiu acessar o mesmo banco remoto fora do localhost (VERCEL, [s. d.]).</w:t>
      </w:r>
    </w:p>
    <w:p>
      <w:pPr>
        <w:pStyle w:val="Ttulo2"/>
        <w:keepNext/>
        <w:ind w:firstLine="0"/>
        <w:jc w:val="left"/>
      </w:pPr>
      <w:r>
        <w:rPr>
          <w:rFonts w:ascii="Times New Roman" w:hAnsi="Times New Roman"/>
          <w:b/>
          <w:i w:val="0"/>
          <w:color w:val="000000"/>
          <w:sz w:val="24"/>
        </w:rPr>
        <w:t>3.4 Verificação técnica e limites dos testes</w:t>
      </w:r>
    </w:p>
    <w:p>
      <w:pPr>
        <w:spacing w:line="360" w:lineRule="auto" w:before="0" w:after="0"/>
        <w:ind w:firstLine="709"/>
        <w:jc w:val="both"/>
      </w:pPr>
      <w:r>
        <w:t>A verificação técnica realizada incluiu a compilação de produção do projeto, uma consulta de leitura ao catálogo fictício com a configuração pública utilizada pela aplicação, o fluxo de cadastro e login de contas de teste, uma reserva pela tela de agendamento, a criação da fila vinculada, a troca de mensagens entre uma conta de paciente e uma conta profissional de teste, o envio de link HTTPS fictício, o envio de arquivo de imagem fictícia vinculado à consulta e o acesso pela versão publicada. A compilação foi concluída com sucesso, a consulta retornou os registros demonstrativos cadastrados e, após a confirmação por e-mail, as contas autenticadas acessaram a interface com seus respectivos papéis. Na etapa seguinte, a lista de horários fictícios foi apresentada na tela e uma reserva foi concluída com êxito, gerando uma consulta persistida e removendo a vaga da lista de horários disponíveis. A criação da consulta gerou uma linha de fila; em teste administrativo controlado, seu estado foi atualizado para posição 1 e status pronto, e a tela do paciente exibiu a liberação para o atendimento. No chat, a conta de paciente enviou mensagem, a conta profissional vinculada visualizou somente a consulta atribuída e o nome do paciente correspondente, respondeu e compartilhou um link HTTPS fictício; ao retornar à conta de paciente, as mensagens e o link foram exibidos. Para os anexos, um arquivo de imagem fictícia foi selecionado pela interface publicada, enviado ao armazenamento privado e listado no contexto da própria consulta. Esses procedimentos confirmam a geração do projeto para publicação estática, a leitura inicial do catálogo, o controle básico de sessão, a persistência do agendamento, do chat e do metadado do anexo, além da vinculação da fila. Eles não equivalem a avaliação clínica, teste de desempenho, teste de segurança abrangente, avaliação de usabilidade com participantes ou autorização para uso de arquivos reais.</w:t>
      </w:r>
    </w:p>
    <w:p>
      <w:pPr>
        <w:spacing w:line="360" w:lineRule="auto" w:before="0" w:after="0"/>
        <w:ind w:firstLine="709"/>
        <w:jc w:val="both"/>
      </w:pPr>
      <w:r>
        <w:rPr>
          <w:rFonts w:ascii="Times New Roman" w:hAnsi="Times New Roman"/>
          <w:b w:val="0"/>
          <w:i w:val="0"/>
          <w:color w:val="000000"/>
          <w:sz w:val="24"/>
        </w:rPr>
        <w:t>Os testes em diferentes larguras de tela e a avaliação de usabilidade com roteiro de tarefas permanecem planejados. Caso sejam utilizados participantes, o procedimento deverá prever consentimento, dados mínimos e ausência de coleta de informações de saúde. Seus resultados somente serão incorporados ao trabalho após registro efetivo.</w:t>
      </w:r>
    </w:p>
    <w:p>
      <w:pPr>
        <w:pStyle w:val="Ttulo1"/>
        <w:keepNext/>
        <w:ind w:firstLine="0"/>
        <w:jc w:val="left"/>
      </w:pPr>
      <w:r>
        <w:rPr>
          <w:rFonts w:ascii="Times New Roman" w:hAnsi="Times New Roman"/>
          <w:b/>
          <w:i w:val="0"/>
          <w:color w:val="000000"/>
          <w:sz w:val="24"/>
        </w:rPr>
        <w:t>4 ANÁLISE E DISCUSSÃO DOS RESULTADOS</w:t>
      </w:r>
    </w:p>
    <w:p>
      <w:pPr>
        <w:pStyle w:val="Ttulo2"/>
        <w:keepNext/>
        <w:ind w:firstLine="0"/>
        <w:jc w:val="left"/>
      </w:pPr>
      <w:r>
        <w:rPr>
          <w:rFonts w:ascii="Times New Roman" w:hAnsi="Times New Roman"/>
          <w:b/>
          <w:i w:val="0"/>
          <w:color w:val="000000"/>
          <w:sz w:val="24"/>
        </w:rPr>
        <w:t>4.1 Apresentação geral do protótipo</w:t>
      </w:r>
    </w:p>
    <w:p>
      <w:pPr>
        <w:spacing w:line="360" w:lineRule="auto" w:before="0" w:after="0"/>
        <w:ind w:firstLine="709"/>
        <w:jc w:val="both"/>
      </w:pPr>
      <w:r>
        <w:t>Como resultado, foi implementado um protótipo navegável da MedConnect com páginas de início, agendamento, sala de espera, atendimento, registros e perfil. A organização em componentes reutilizáveis favorece consistência visual e separação das responsabilidades de interface. A compilação de produção foi concluída com sucesso e a versão está publicada em ambiente web, o que demonstra o acesso externo ao protótipo com a configuração de autenticação adotada. Isso não comprova uso clínico, satisfação dos usuários ou desempenho em ambiente de produção clínica.</w:t>
      </w:r>
    </w:p>
    <w:p>
      <w:pPr>
        <w:pStyle w:val="Ttulo2"/>
        <w:keepNext/>
        <w:ind w:firstLine="0"/>
        <w:jc w:val="left"/>
      </w:pPr>
      <w:r>
        <w:rPr>
          <w:rFonts w:ascii="Times New Roman" w:hAnsi="Times New Roman"/>
          <w:b/>
          <w:i w:val="0"/>
          <w:color w:val="000000"/>
          <w:sz w:val="24"/>
        </w:rPr>
        <w:t>4.2 Descoberta e seleção do profissional</w:t>
      </w:r>
    </w:p>
    <w:p>
      <w:pPr>
        <w:spacing w:line="360" w:lineRule="auto" w:before="0" w:after="0"/>
        <w:ind w:firstLine="709"/>
        <w:jc w:val="both"/>
      </w:pPr>
      <w:r>
        <w:rPr>
          <w:rFonts w:ascii="Times New Roman" w:hAnsi="Times New Roman"/>
          <w:b w:val="0"/>
          <w:i w:val="0"/>
          <w:color w:val="000000"/>
          <w:sz w:val="24"/>
        </w:rPr>
        <w:t>A descoberta de profissionais passou a consultar uma tabela remota de catálogo fictício. O resultado atende ao objetivo de apresentar especialidades e perfis demonstrativos, pois a tela mostra os registros retornados pelo banco e informa situações de carregamento, falha ou ausência de profissionais em uma especialidade. Essa escolha aproxima a interface de uma fonte de dados persistente sem atribuir características não cadastradas aos profissionais.</w:t>
      </w:r>
    </w:p>
    <w:p>
      <w:pPr>
        <w:spacing w:line="360" w:lineRule="auto" w:before="0" w:after="0"/>
        <w:ind w:firstLine="709"/>
        <w:jc w:val="both"/>
      </w:pPr>
      <w:r>
        <w:rPr>
          <w:rFonts w:ascii="Times New Roman" w:hAnsi="Times New Roman"/>
          <w:b w:val="0"/>
          <w:i w:val="0"/>
          <w:color w:val="000000"/>
          <w:sz w:val="24"/>
        </w:rPr>
        <w:t>A discussão desse resultado se relaciona à organização da jornada do paciente: a seleção depende de informações legíveis e de retorno claro sobre a disponibilidade do catálogo. Entretanto, a integração atual é restrita a dois registros fictícios e não fornece agenda, avaliações, imagens, credenciais ou disponibilidade real. Portanto, ela representa uma primeira integração de leitura, não um sistema completo de descoberta profissional.</w:t>
      </w:r>
    </w:p>
    <w:p>
      <w:pPr>
        <w:pStyle w:val="Ttulo2"/>
        <w:keepNext/>
        <w:ind w:firstLine="0"/>
        <w:jc w:val="left"/>
      </w:pPr>
      <w:r>
        <w:rPr>
          <w:rFonts w:ascii="Times New Roman" w:hAnsi="Times New Roman"/>
          <w:b/>
          <w:i w:val="0"/>
          <w:color w:val="000000"/>
          <w:sz w:val="24"/>
        </w:rPr>
        <w:t>4.3 Fluxo de agendamento</w:t>
      </w:r>
    </w:p>
    <w:p>
      <w:pPr>
        <w:spacing w:line="360" w:lineRule="auto" w:before="0" w:after="0"/>
        <w:ind w:firstLine="709"/>
        <w:jc w:val="both"/>
      </w:pPr>
      <w:r>
        <w:rPr>
          <w:rFonts w:ascii="Times New Roman" w:hAnsi="Times New Roman"/>
          <w:b w:val="0"/>
          <w:i w:val="0"/>
          <w:color w:val="000000"/>
          <w:sz w:val="24"/>
        </w:rPr>
        <w:t>A tela de agendamento passou a consultar horários fictícios disponíveis no banco de dados após a escolha do profissional. Cada horário apresenta data, início e término no fuso de São Paulo. Ao confirmar, a aplicação solicita ao banco a reserva da vaga para a conta de paciente autenticada; quando a operação é bem-sucedida, a tela informa a confirmação e deixa de exibir aquele horário como disponível. Esse resultado atende ao objetivo de estruturar um fluxo de agendamento persistido, pois registra o vínculo entre paciente, profissional e horário em vez de apenas alterar o estado visual da página.</w:t>
      </w:r>
    </w:p>
    <w:p>
      <w:pPr>
        <w:pStyle w:val="Ttulo2"/>
        <w:keepNext/>
        <w:ind w:firstLine="0"/>
        <w:jc w:val="left"/>
      </w:pPr>
      <w:r>
        <w:rPr>
          <w:rFonts w:ascii="Times New Roman" w:hAnsi="Times New Roman"/>
          <w:b/>
          <w:i w:val="0"/>
          <w:color w:val="000000"/>
          <w:sz w:val="24"/>
        </w:rPr>
        <w:t>4.4 Fila virtual e acompanhamento</w:t>
      </w:r>
    </w:p>
    <w:p>
      <w:pPr>
        <w:spacing w:line="360" w:lineRule="auto" w:before="0" w:after="0"/>
        <w:ind w:firstLine="709"/>
        <w:jc w:val="both"/>
      </w:pPr>
      <w:r>
        <w:t>A fila virtual passou a ser vinculada à consulta demonstrativa persistida. Quando a reserva é criada, uma rotina do banco registra uma linha de fila com posição e status iniciais; a tela de sala de espera consulta exclusivamente a linha da conta autenticada e permite atualizar a visualização. Em teste administrativo controlado, a alteração da posição para 1 e do status para pronto foi refletida na tela do paciente, liberando a orientação para prosseguir ao atendimento. Esse resultado substitui a simulação isolada por um estado de espera associado à consulta, embora ainda não haja atualização automática em tempo real, cálculo de estimativa de atendimento ou interface de profissional.</w:t>
      </w:r>
    </w:p>
    <w:p>
      <w:pPr>
        <w:pStyle w:val="Ttulo2"/>
        <w:keepNext/>
        <w:ind w:firstLine="0"/>
        <w:jc w:val="left"/>
      </w:pPr>
      <w:r>
        <w:rPr>
          <w:rFonts w:ascii="Times New Roman" w:hAnsi="Times New Roman"/>
          <w:b/>
          <w:i w:val="0"/>
          <w:color w:val="000000"/>
          <w:sz w:val="24"/>
        </w:rPr>
        <w:t>4.5 Atendimento e compartilhamento de link de videochamada</w:t>
      </w:r>
    </w:p>
    <w:p>
      <w:pPr>
        <w:spacing w:line="360" w:lineRule="auto" w:before="0" w:after="0"/>
        <w:ind w:firstLine="709"/>
        <w:jc w:val="both"/>
      </w:pPr>
      <w:r>
        <w:t>A área de atendimento passou a utilizar um chat privado persistido por consulta. A conta de paciente visualiza e envia mensagens somente na própria consulta; a conta profissional de teste acessa somente consultas atribuídas ao profissional fictício associado ao seu perfil. A identificação do paciente na visão profissional depende desse vínculo, o que facilita reconhecer a pessoa que solicitou o horário sem abrir a lista de perfis para outras contas. O profissional também pode enviar, pelo chat, um link iniciado por HTTPS para uma reunião externa. Para reduzir a poluição visual da conversa, o envio e a consulta dos anexos são acionados por um botão ao lado do campo de mensagem, que revela os controles somente quando necessário. O teste confirmou a persistência das mensagens e a leitura cruzada entre as duas contas vinculadas. Não há atualização em tempo real, videochamada hospedada pela MedConnect, validação de identidade dos participantes ou uso de links reais.</w:t>
      </w:r>
    </w:p>
    <w:p>
      <w:pPr>
        <w:pStyle w:val="Ttulo2"/>
        <w:keepNext/>
        <w:ind w:firstLine="0"/>
        <w:jc w:val="left"/>
      </w:pPr>
      <w:r>
        <w:t>4.6 Perfil, registros e anexos vinculados à consulta</w:t>
      </w:r>
    </w:p>
    <w:p>
      <w:pPr>
        <w:spacing w:line="360" w:lineRule="auto" w:before="0" w:after="0"/>
        <w:ind w:firstLine="709"/>
        <w:jc w:val="both"/>
      </w:pPr>
      <w:r>
        <w:t>O protótipo oferece cadastro, login e encerramento de sessão para pacientes de teste, além de edição de dados básicos de perfil e exibição de históricos e registros fictícios. O cadastro público cria o papel patient; a conta profissional de teste utiliza o mesmo fluxo inicial, mas recebe administrativamente o papel doctor e o vínculo a um profissional fictício. Essa separação permite demonstrar permissões distintas sem abrir cadastro profissional ao público. Os campos exibidos na área de perfil e as listas demonstrativas de registros continuam sendo preservados apenas no localStorage para conservar a demonstração no navegador. Os anexos privados não constituem prontuário nem substituem os registros exibidos nessa tela: eles permanecem associados à consulta em que foram compartilhados e usam somente arquivos fictícios.</w:t>
      </w:r>
    </w:p>
    <w:p>
      <w:pPr>
        <w:pStyle w:val="Ttulo2"/>
        <w:keepNext/>
        <w:ind w:firstLine="0"/>
        <w:jc w:val="left"/>
      </w:pPr>
      <w:r>
        <w:rPr>
          <w:rFonts w:ascii="Times New Roman" w:hAnsi="Times New Roman"/>
          <w:b/>
          <w:i w:val="0"/>
          <w:color w:val="000000"/>
          <w:sz w:val="24"/>
        </w:rPr>
        <w:t>4.7 Responsividade e experiência do usuário</w:t>
      </w:r>
    </w:p>
    <w:p>
      <w:pPr>
        <w:spacing w:line="360" w:lineRule="auto" w:before="0" w:after="0"/>
        <w:ind w:firstLine="709"/>
        <w:jc w:val="both"/>
      </w:pPr>
      <w:r>
        <w:rPr>
          <w:rFonts w:ascii="Times New Roman" w:hAnsi="Times New Roman"/>
          <w:b w:val="0"/>
          <w:i w:val="0"/>
          <w:color w:val="000000"/>
          <w:sz w:val="24"/>
        </w:rPr>
        <w:t>A construção da interface utiliza grades responsivas, áreas de toque e feedback visual nas interações. Essas decisões estão alinhadas aos pressupostos de clareza, previsibilidade e adaptação a diferentes larguras de tela apresentados no Capítulo 2. Ainda assim, não foram realizados testes formais em dispositivos variados nem avaliação de usabilidade com participantes; por isso, não é possível afirmar que a experiência foi validada pelos usuários.</w:t>
      </w:r>
    </w:p>
    <w:p>
      <w:pPr>
        <w:pStyle w:val="Ttulo2"/>
        <w:keepNext/>
        <w:ind w:firstLine="0"/>
        <w:jc w:val="left"/>
      </w:pPr>
      <w:r>
        <w:rPr>
          <w:rFonts w:ascii="Times New Roman" w:hAnsi="Times New Roman"/>
          <w:b/>
          <w:i w:val="0"/>
          <w:color w:val="000000"/>
          <w:sz w:val="24"/>
        </w:rPr>
        <w:t>4.8 Privacidade, segurança e limitações</w:t>
      </w:r>
    </w:p>
    <w:p>
      <w:pPr>
        <w:spacing w:line="360" w:lineRule="auto" w:before="0" w:after="0"/>
        <w:ind w:firstLine="709"/>
        <w:jc w:val="both"/>
      </w:pPr>
      <w:r>
        <w:t>A MedConnect opera somente com dados fictícios. O catálogo remoto possui regras de acesso por registro para permitir sua leitura demonstrativa; as contas autenticadas leem e atualizam apenas o próprio perfil; cada consulta persistida pode ser lida pelo paciente vinculado ou pelo profissional de teste associado; a linha de fila é consultada somente pelo paciente; e mensagens e anexos podem ser lidos ou inseridos somente pelos participantes da consulta. Os arquivos são armazenados em bucket privado; a leitura é realizada por URL assinada de curta duração, gerada após a verificação das regras de acesso. O nome do paciente é liberado ao profissional apenas quando existe consulta atribuída a ele. A reserva é realizada por função de banco, sem inserção direta concedida ao navegador, e contém verificações contra a duplicidade da vaga e a sobreposição de horário do paciente. Essas medidas reduzem o escopo de acesso no cenário demonstrativo, mas não substituem os controles necessários a uma plataforma clínica. Atualização em tempo real, integração de vídeo, prontuário, tratamento de dados reais e validação abrangente de segurança permanecem fora do escopo desta versão.</w:t>
      </w:r>
    </w:p>
    <w:p>
      <w:pPr>
        <w:pStyle w:val="Ttulo2"/>
        <w:keepNext/>
        <w:ind w:firstLine="0"/>
        <w:jc w:val="left"/>
      </w:pPr>
      <w:r>
        <w:rPr>
          <w:rFonts w:ascii="Times New Roman" w:hAnsi="Times New Roman"/>
          <w:b/>
          <w:i w:val="0"/>
          <w:color w:val="000000"/>
          <w:sz w:val="24"/>
        </w:rPr>
        <w:t>4.9 Síntese da relação entre objetivos e resultados</w:t>
      </w:r>
    </w:p>
    <w:p>
      <w:pPr>
        <w:spacing w:line="360" w:lineRule="auto" w:before="0" w:after="0"/>
        <w:ind w:firstLine="709"/>
        <w:jc w:val="both"/>
      </w:pPr>
      <w:r>
        <w:rPr>
          <w:rFonts w:ascii="Times New Roman" w:hAnsi="Times New Roman"/>
          <w:b w:val="0"/>
          <w:i w:val="0"/>
          <w:color w:val="000000"/>
          <w:sz w:val="24"/>
        </w:rPr>
        <w:t>A Tabela 1 sintetiza a relação entre os objetivos específicos, as evidências verificadas no protótipo e as limitações que permanecem abertas. A síntese evita interpretar a existência de uma tela ou de uma integração pontual como comprovação de operação clínica.</w:t>
      </w:r>
    </w:p>
    <w:tbl>
      <w:tblPr>
        <w:tblW w:type="auto" w:w="0"/>
        <w:tblLayout w:type="fixed"/>
        <w:tblLook w:firstColumn="1" w:firstRow="1" w:lastColumn="0" w:lastRow="0" w:noHBand="0" w:noVBand="1" w:val="04A0"/>
      </w:tblPr>
      <w:tblGrid>
        <w:gridCol w:w="3024"/>
        <w:gridCol w:w="3024"/>
        <w:gridCol w:w="3024"/>
      </w:tblGrid>
      <w:tr>
        <w:tc>
          <w:tcPr>
            <w:tcW w:type="dxa" w:w="2835"/>
            <w:shd w:fill="1F4E7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76" w:lineRule="auto"/>
              <w:jc w:val="center"/>
            </w:pPr>
            <w:r>
              <w:rPr>
                <w:color w:val="FFFFFF"/>
              </w:rPr>
            </w:r>
            <w:r>
              <w:rPr>
                <w:rFonts w:ascii="Times New Roman" w:hAnsi="Times New Roman"/>
                <w:b/>
                <w:i w:val="0"/>
                <w:color w:val="FFFFFF"/>
                <w:sz w:val="20"/>
              </w:rPr>
              <w:t>Objetivo específico</w:t>
            </w:r>
          </w:p>
        </w:tc>
        <w:tc>
          <w:tcPr>
            <w:tcW w:type="dxa" w:w="4082"/>
            <w:shd w:fill="1F4E7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76" w:lineRule="auto"/>
              <w:jc w:val="center"/>
            </w:pPr>
            <w:r>
              <w:rPr>
                <w:color w:val="FFFFFF"/>
              </w:rPr>
            </w:r>
            <w:r>
              <w:rPr>
                <w:rFonts w:ascii="Times New Roman" w:hAnsi="Times New Roman"/>
                <w:b/>
                <w:i w:val="0"/>
                <w:color w:val="FFFFFF"/>
                <w:sz w:val="20"/>
              </w:rPr>
              <w:t>Evidência obtida</w:t>
            </w:r>
          </w:p>
        </w:tc>
        <w:tc>
          <w:tcPr>
            <w:tcW w:type="dxa" w:w="2835"/>
            <w:shd w:fill="1F4E7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76" w:lineRule="auto"/>
              <w:jc w:val="center"/>
            </w:pPr>
            <w:r>
              <w:rPr>
                <w:color w:val="FFFFFF"/>
              </w:rPr>
            </w:r>
            <w:r>
              <w:rPr>
                <w:rFonts w:ascii="Times New Roman" w:hAnsi="Times New Roman"/>
                <w:b/>
                <w:i w:val="0"/>
                <w:color w:val="FFFFFF"/>
                <w:sz w:val="20"/>
              </w:rPr>
              <w:t>Limitação atual</w:t>
            </w:r>
          </w:p>
        </w:tc>
      </w:tr>
      <w:t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76" w:lineRule="auto"/>
              <w:jc w:val="left"/>
            </w:pPr>
            <w:r/>
            <w:r>
              <w:rPr>
                <w:rFonts w:ascii="Times New Roman" w:hAnsi="Times New Roman"/>
                <w:b w:val="0"/>
                <w:i w:val="0"/>
                <w:color w:val="000000"/>
                <w:sz w:val="20"/>
              </w:rPr>
              <w:t>Apresentar especialidades e profissionais fictícios.</w:t>
            </w:r>
          </w:p>
        </w:tc>
        <w:tc>
          <w:tcPr>
            <w:tcW w:type="dxa" w:w="408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76" w:lineRule="auto"/>
              <w:jc w:val="left"/>
            </w:pPr>
            <w:r/>
            <w:r>
              <w:rPr>
                <w:rFonts w:ascii="Times New Roman" w:hAnsi="Times New Roman"/>
                <w:b w:val="0"/>
                <w:i w:val="0"/>
                <w:color w:val="000000"/>
                <w:sz w:val="20"/>
              </w:rPr>
              <w:t>Consulta remota à tabela professionals, com dois registros fictícios e estados de carregamento, ausência e erro na tela de agendamento.</w:t>
            </w:r>
          </w:p>
        </w:tc>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76" w:lineRule="auto"/>
              <w:jc w:val="left"/>
            </w:pPr>
            <w:r/>
            <w:r>
              <w:rPr>
                <w:rFonts w:ascii="Times New Roman" w:hAnsi="Times New Roman"/>
                <w:b w:val="0"/>
                <w:i w:val="0"/>
                <w:color w:val="000000"/>
                <w:sz w:val="20"/>
              </w:rPr>
              <w:t>O catálogo ainda é reduzido e não contém dados de agenda, avaliações ou documentos profissionais.</w:t>
            </w:r>
          </w:p>
        </w:tc>
      </w:tr>
      <w:tr>
        <w:tc>
          <w:tcPr>
            <w:tcW w:type="dxa" w:w="2835"/>
            <w:shd w:fill="F2F7FB"/>
            <w:vAlign w:val="center"/>
            <w:tcBorders>
              <w:top w:val="single" w:sz="4" w:color="D9D9D9"/>
              <w:left w:val="single" w:sz="4" w:color="D9D9D9"/>
              <w:bottom w:val="single" w:sz="4" w:color="D9D9D9"/>
              <w:right w:val="single" w:sz="4" w:color="D9D9D9"/>
              <w:insideH w:val="single" w:sz="4" w:color="D9D9D9"/>
              <w:insideV w:val="single" w:sz="4" w:color="D9D9D9"/>
            </w:tcBorders>
          </w:tcPr>
          <w:p>
            <w:r>
              <w:t>Organizar o fluxo de agendamento persistido.</w:t>
            </w:r>
          </w:p>
        </w:tc>
        <w:tc>
          <w:tcPr>
            <w:tcW w:type="dxa" w:w="4082"/>
            <w:shd w:fill="F2F7FB"/>
            <w:vAlign w:val="center"/>
            <w:tcBorders>
              <w:top w:val="single" w:sz="4" w:color="D9D9D9"/>
              <w:left w:val="single" w:sz="4" w:color="D9D9D9"/>
              <w:bottom w:val="single" w:sz="4" w:color="D9D9D9"/>
              <w:right w:val="single" w:sz="4" w:color="D9D9D9"/>
              <w:insideH w:val="single" w:sz="4" w:color="D9D9D9"/>
              <w:insideV w:val="single" w:sz="4" w:color="D9D9D9"/>
            </w:tcBorders>
          </w:tcPr>
          <w:p>
            <w:r>
              <w:t>Consulta de horários fictícios e reserva persistida, vinculando paciente autenticado, profissional do catálogo e vaga selecionada.</w:t>
            </w:r>
          </w:p>
        </w:tc>
        <w:tc>
          <w:tcPr>
            <w:tcW w:type="dxa" w:w="2835"/>
            <w:shd w:fill="F2F7FB"/>
            <w:vAlign w:val="center"/>
            <w:tcBorders>
              <w:top w:val="single" w:sz="4" w:color="D9D9D9"/>
              <w:left w:val="single" w:sz="4" w:color="D9D9D9"/>
              <w:bottom w:val="single" w:sz="4" w:color="D9D9D9"/>
              <w:right w:val="single" w:sz="4" w:color="D9D9D9"/>
              <w:insideH w:val="single" w:sz="4" w:color="D9D9D9"/>
              <w:insideV w:val="single" w:sz="4" w:color="D9D9D9"/>
            </w:tcBorders>
          </w:tcPr>
          <w:p>
            <w:r>
              <w:t>A agenda possui poucos horários fictícios e não contempla cancelamento, reagendamento ou disponibilidade real.</w:t>
            </w:r>
          </w:p>
        </w:tc>
      </w:tr>
      <w:t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76" w:lineRule="auto"/>
              <w:jc w:val="left"/>
            </w:pPr>
            <w:r/>
            <w:r>
              <w:rPr>
                <w:rFonts w:ascii="Times New Roman" w:hAnsi="Times New Roman"/>
                <w:b w:val="0"/>
                <w:i w:val="0"/>
                <w:color w:val="000000"/>
                <w:sz w:val="20"/>
              </w:rPr>
              <w:t>Apresentar fila virtual.</w:t>
            </w:r>
          </w:p>
        </w:tc>
        <w:tc>
          <w:tcPr>
            <w:tcW w:type="dxa" w:w="408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76" w:lineRule="auto"/>
              <w:jc w:val="left"/>
            </w:pPr>
            <w:r>
              <w:t>Fila persistida criada automaticamente a partir da consulta; paciente visualiza somente a própria posição e status na sala de espera.</w:t>
            </w:r>
          </w:p>
        </w:tc>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Pr>
          <w:p>
            <w:r>
              <w:t>Não há atualização em tempo real, estimativa de espera ou interface de profissional para administrar a fila.</w:t>
            </w:r>
          </w:p>
        </w:tc>
      </w:tr>
      <w:tr>
        <w:tc>
          <w:tcPr>
            <w:tcW w:type="dxa" w:w="2835"/>
            <w:shd w:fill="F2F7FB"/>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76" w:lineRule="auto"/>
              <w:jc w:val="left"/>
            </w:pPr>
            <w:r/>
            <w:r>
              <w:rPr>
                <w:rFonts w:ascii="Times New Roman" w:hAnsi="Times New Roman"/>
                <w:b w:val="0"/>
                <w:i w:val="0"/>
                <w:color w:val="000000"/>
                <w:sz w:val="20"/>
              </w:rPr>
              <w:t>Oferecer comunicação demonstrativa para o atendimento.</w:t>
            </w:r>
          </w:p>
        </w:tc>
        <w:tc>
          <w:tcPr>
            <w:tcW w:type="dxa" w:w="4082"/>
            <w:shd w:fill="F2F7FB"/>
            <w:vAlign w:val="center"/>
            <w:tcBorders>
              <w:top w:val="single" w:sz="4" w:color="D9D9D9"/>
              <w:left w:val="single" w:sz="4" w:color="D9D9D9"/>
              <w:bottom w:val="single" w:sz="4" w:color="D9D9D9"/>
              <w:right w:val="single" w:sz="4" w:color="D9D9D9"/>
              <w:insideH w:val="single" w:sz="4" w:color="D9D9D9"/>
              <w:insideV w:val="single" w:sz="4" w:color="D9D9D9"/>
            </w:tcBorders>
          </w:tcPr>
          <w:p>
            <w:r>
              <w:t>Mensagens persistidas por consulta, lidas e enviadas apenas pelo paciente e profissional vinculados; envio de link HTTPS fictício e anexos privados acionados junto ao campo de mensagem.</w:t>
            </w:r>
          </w:p>
        </w:tc>
        <w:tc>
          <w:tcPr>
            <w:tcW w:type="dxa" w:w="2835"/>
            <w:shd w:fill="F2F7FB"/>
            <w:vAlign w:val="center"/>
            <w:tcBorders>
              <w:top w:val="single" w:sz="4" w:color="D9D9D9"/>
              <w:left w:val="single" w:sz="4" w:color="D9D9D9"/>
              <w:bottom w:val="single" w:sz="4" w:color="D9D9D9"/>
              <w:right w:val="single" w:sz="4" w:color="D9D9D9"/>
              <w:insideH w:val="single" w:sz="4" w:color="D9D9D9"/>
              <w:insideV w:val="single" w:sz="4" w:color="D9D9D9"/>
            </w:tcBorders>
          </w:tcPr>
          <w:p>
            <w:r>
              <w:t>Não há atualização em tempo real, videochamada hospedada, validação de identidade ou uso de links e arquivos reais.</w:t>
            </w:r>
          </w:p>
        </w:tc>
      </w:tr>
      <w:t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Pr>
          <w:p>
            <w:r>
              <w:t>Disponibilizar conta, perfil e registros demonstrativos.</w:t>
            </w:r>
          </w:p>
        </w:tc>
        <w:tc>
          <w:tcPr>
            <w:tcW w:type="dxa" w:w="4082"/>
            <w:vAlign w:val="center"/>
            <w:tcBorders>
              <w:top w:val="single" w:sz="4" w:color="D9D9D9"/>
              <w:left w:val="single" w:sz="4" w:color="D9D9D9"/>
              <w:bottom w:val="single" w:sz="4" w:color="D9D9D9"/>
              <w:right w:val="single" w:sz="4" w:color="D9D9D9"/>
              <w:insideH w:val="single" w:sz="4" w:color="D9D9D9"/>
              <w:insideV w:val="single" w:sz="4" w:color="D9D9D9"/>
            </w:tcBorders>
          </w:tcPr>
          <w:p>
            <w:r>
              <w:t>Cadastro e login de contas de teste; perfil do paciente e conta profissional associada administrativamente ao catálogo; anexos demonstrativos privados por consulta.</w:t>
            </w:r>
          </w:p>
        </w:tc>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Pr>
          <w:p>
            <w:r>
              <w:t>Registros permanecem demonstrativos; anexos não formam prontuário e não podem conter dados pessoais ou documentos reais.</w:t>
            </w:r>
          </w:p>
        </w:tc>
      </w:tr>
      <w:tr>
        <w:tc>
          <w:tcPr>
            <w:tcW w:type="dxa" w:w="2835"/>
            <w:shd w:fill="F2F7FB"/>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76" w:lineRule="auto"/>
              <w:jc w:val="left"/>
            </w:pPr>
            <w:r/>
            <w:r>
              <w:rPr>
                <w:rFonts w:ascii="Times New Roman" w:hAnsi="Times New Roman"/>
                <w:b w:val="0"/>
                <w:i w:val="0"/>
                <w:color w:val="000000"/>
                <w:sz w:val="20"/>
              </w:rPr>
              <w:t>Aplicar princípios de responsividade e clareza de interface.</w:t>
            </w:r>
          </w:p>
        </w:tc>
        <w:tc>
          <w:tcPr>
            <w:tcW w:type="dxa" w:w="4082"/>
            <w:shd w:fill="F2F7FB"/>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76" w:lineRule="auto"/>
              <w:jc w:val="left"/>
            </w:pPr>
            <w:r/>
            <w:r>
              <w:rPr>
                <w:rFonts w:ascii="Times New Roman" w:hAnsi="Times New Roman"/>
                <w:b w:val="0"/>
                <w:i w:val="0"/>
                <w:color w:val="000000"/>
                <w:sz w:val="20"/>
              </w:rPr>
              <w:t>Uso de layout responsivo, componentes reutilizáveis e feedback visual de interação.</w:t>
            </w:r>
          </w:p>
        </w:tc>
        <w:tc>
          <w:tcPr>
            <w:tcW w:type="dxa" w:w="2835"/>
            <w:shd w:fill="F2F7FB"/>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76" w:lineRule="auto"/>
              <w:jc w:val="left"/>
            </w:pPr>
            <w:r/>
            <w:r>
              <w:rPr>
                <w:rFonts w:ascii="Times New Roman" w:hAnsi="Times New Roman"/>
                <w:b w:val="0"/>
                <w:i w:val="0"/>
                <w:color w:val="000000"/>
                <w:sz w:val="20"/>
              </w:rPr>
              <w:t>Ainda não foi realizada avaliação formal de usabilidade com participantes.</w:t>
            </w:r>
          </w:p>
        </w:tc>
      </w:tr>
    </w:tbl>
    <w:p>
      <w:pPr>
        <w:spacing w:before="120"/>
        <w:jc w:val="left"/>
      </w:pPr>
      <w:r>
        <w:rPr>
          <w:rFonts w:ascii="Times New Roman" w:hAnsi="Times New Roman"/>
          <w:b w:val="0"/>
          <w:i/>
          <w:color w:val="000000"/>
          <w:sz w:val="20"/>
        </w:rPr>
        <w:t>Tabela 1 - Relação entre objetivos, evidências e limitações da MedConnect.</w:t>
      </w:r>
    </w:p>
    <w:p>
      <w:pPr>
        <w:pStyle w:val="Ttulo1"/>
        <w:keepNext/>
        <w:ind w:firstLine="0"/>
        <w:jc w:val="left"/>
      </w:pPr>
      <w:r>
        <w:rPr>
          <w:rFonts w:ascii="Times New Roman" w:hAnsi="Times New Roman"/>
          <w:b/>
          <w:i w:val="0"/>
          <w:color w:val="000000"/>
          <w:sz w:val="24"/>
        </w:rPr>
        <w:t>5 CONSIDERAÇÕES FINAIS</w:t>
      </w:r>
    </w:p>
    <w:p>
      <w:pPr>
        <w:spacing w:line="360" w:lineRule="auto" w:before="0" w:after="0"/>
        <w:ind w:firstLine="709"/>
        <w:jc w:val="both"/>
      </w:pPr>
      <w:r>
        <w:t>O problema de pesquisa foi respondido de forma parcial e compatível com o escopo adotado: o desenvolvimento da MedConnect demonstrou como um protótipo web responsivo pode organizar o acesso remoto a etapas do atendimento médico que podem ser mediadas digitalmente, como descoberta de profissionais, seleção de horário fictício, reserva persistida, acompanhamento por fila vinculada, comunicação privada entre contas de teste, compartilhamento controlado de arquivos fictícios e acesso ao ambiente publicado. A resposta se limita à demonstração de interface e à verificação técnica de dados fictícios, não à validação de um serviço clínico ou à substituição da consulta presencial quando ela for necessária.</w:t>
      </w:r>
    </w:p>
    <w:p>
      <w:pPr>
        <w:spacing w:line="360" w:lineRule="auto" w:before="0" w:after="0"/>
        <w:ind w:firstLine="709"/>
        <w:jc w:val="both"/>
      </w:pPr>
      <w:r>
        <w:t>O objetivo geral de desenvolver um protótipo web responsivo foi alcançado no nível de interface, publicação e verificação técnica descrito no trabalho. Os objetivos específicos de apresentar profissionais fictícios, estruturar uma seleção demonstrativa de consulta, persistir uma reserva vinculada ao paciente autenticado, exibir fila vinculada à consulta, oferecer chat privado demonstrativo, disponibilizar cadastro e login de contas de teste, permitir anexos demonstrativos privados, perfil e registros foram implementados com as limitações registradas no Capítulo 4. A integração com Supabase acrescentou uma fonte remota para o catálogo, autenticação inicial, persistência controlada do agendamento, das mensagens e dos metadados de anexos demonstrativos, armazenamento privado de arquivos e regras de acesso associadas aos participantes. A publicação na Vercel viabilizou o acesso externo ao protótipo.</w:t>
      </w:r>
    </w:p>
    <w:p>
      <w:pPr>
        <w:spacing w:line="360" w:lineRule="auto" w:before="0" w:after="0"/>
        <w:ind w:firstLine="709"/>
        <w:jc w:val="both"/>
      </w:pPr>
      <w:r>
        <w:t>Como contribuição, o projeto articula desenvolvimento web, experiência do usuário, autenticação inicial, persistência de reserva e mensagens demonstrativas, fila vinculada à consulta, anexos privados com arquivos fictícios, publicação web e requisitos de privacidade para aproximar digitalmente a organização inicial do atendimento do paciente, reduzindo a dependência de deslocamento presencial para tarefas administrativas e informativas. As principais limitações são a ausência de atualização em tempo real, de integração de vídeo hospedada, de prontuário, de uso de dados reais e de avaliação com usuários. A conta profissional é restrita a um fluxo de teste e não representa uma visão clínica completa. As próximas etapas poderão incluir validação mais ampla da interface e dos controles de acesso, sempre com dados fictícios e com atualização da documentação acadêmica após cada evidência obtida.</w:t>
      </w:r>
    </w:p>
    <w:p>
      <w:pPr>
        <w:pStyle w:val="Ttulo1"/>
        <w:keepNext/>
        <w:ind w:firstLine="0"/>
        <w:jc w:val="left"/>
      </w:pPr>
      <w:r>
        <w:rPr>
          <w:rFonts w:ascii="Times New Roman" w:hAnsi="Times New Roman"/>
          <w:b/>
          <w:i w:val="0"/>
          <w:color w:val="000000"/>
          <w:sz w:val="24"/>
        </w:rPr>
        <w:t>REFERÊNCIAS</w:t>
      </w:r>
    </w:p>
    <w:p>
      <w:pPr>
        <w:spacing w:after="80"/>
        <w:ind w:firstLine="0" w:left="0"/>
        <w:jc w:val="left"/>
      </w:pPr>
      <w:r>
        <w:rPr>
          <w:rFonts w:ascii="Times New Roman" w:hAnsi="Times New Roman"/>
          <w:b w:val="0"/>
          <w:i w:val="0"/>
          <w:color w:val="000000"/>
          <w:sz w:val="22"/>
        </w:rPr>
        <w:t>BRASIL. Lei nº 13.709, de 14 de agosto de 2018. Lei Geral de Proteção de Dados Pessoais (LGPD). Brasília, DF: Presidência da República, 2018. Disponível em: https://www.planalto.gov.br/ccivil_03/_ato2015-2018/2018/lei/l13709compilado.htm. Acesso em: 18 ago. 2026.</w:t>
      </w:r>
    </w:p>
    <w:p>
      <w:pPr>
        <w:spacing w:after="80"/>
        <w:ind w:firstLine="0" w:left="0"/>
        <w:jc w:val="left"/>
      </w:pPr>
      <w:r>
        <w:rPr>
          <w:rFonts w:ascii="Times New Roman" w:hAnsi="Times New Roman"/>
          <w:b w:val="0"/>
          <w:i w:val="0"/>
          <w:color w:val="000000"/>
          <w:sz w:val="22"/>
        </w:rPr>
        <w:t>BRASIL. Lei nº 14.510, de 27 de dezembro de 2022. Altera a Lei nº 8.080, de 19 de setembro de 1990, para autorizar e disciplinar a prática da telessaúde em todo o território nacional. Brasília, DF: Presidência da República, 2022a. Disponível em: https://www.planalto.gov.br/ccivil_03/_ato2019-2022/2022/lei/l14510.htm. Acesso em: 18 ago. 2026.</w:t>
      </w:r>
    </w:p>
    <w:p>
      <w:pPr>
        <w:spacing w:after="80"/>
        <w:ind w:firstLine="0" w:left="0"/>
        <w:jc w:val="left"/>
      </w:pPr>
      <w:r>
        <w:rPr>
          <w:rFonts w:ascii="Times New Roman" w:hAnsi="Times New Roman"/>
          <w:b w:val="0"/>
          <w:i w:val="0"/>
          <w:color w:val="000000"/>
          <w:sz w:val="22"/>
        </w:rPr>
        <w:t>CONSELHO FEDERAL DE MEDICINA. Resolução CFM nº 2.314, de 20 de abril de 2022. Define e regulamenta a telemedicina, como forma de serviços médicos mediados por tecnologias de comunicação. Brasília, DF: CFM, 2022. Disponível em: https://portal.cfm.org.br/noticias/apos-amplo-debate-cfm-regulamenta-pratica-da-telemedicina-no-brasil. Acesso em: 18 ago. 2026.</w:t>
      </w:r>
    </w:p>
    <w:p>
      <w:pPr>
        <w:spacing w:after="80"/>
        <w:ind w:firstLine="0" w:left="0"/>
        <w:jc w:val="left"/>
      </w:pPr>
      <w:r>
        <w:rPr>
          <w:rFonts w:ascii="Times New Roman" w:hAnsi="Times New Roman"/>
          <w:b w:val="0"/>
          <w:i w:val="0"/>
          <w:color w:val="000000"/>
          <w:sz w:val="22"/>
        </w:rPr>
        <w:t>FRAMER. Motion for React documentation. [S. l.], [s. d.]. Disponível em: https://motion.dev/docs/react. Acesso em: 18 ago. 2026.</w:t>
      </w:r>
    </w:p>
    <w:p>
      <w:pPr>
        <w:spacing w:after="80"/>
        <w:ind w:firstLine="0" w:left="0"/>
        <w:jc w:val="left"/>
      </w:pPr>
      <w:r>
        <w:rPr>
          <w:rFonts w:ascii="Times New Roman" w:hAnsi="Times New Roman"/>
          <w:b w:val="0"/>
          <w:i w:val="0"/>
          <w:color w:val="000000"/>
          <w:sz w:val="22"/>
        </w:rPr>
        <w:t>LUCIDE. Lucide React documentation. [S. l.], [s. d.]. Disponível em: https://lucide.dev/guide/packages/lucide-react. Acesso em: 18 ago. 2026.</w:t>
      </w:r>
    </w:p>
    <w:p>
      <w:pPr>
        <w:spacing w:after="80"/>
        <w:ind w:firstLine="0" w:left="0"/>
        <w:jc w:val="left"/>
      </w:pPr>
      <w:r>
        <w:rPr>
          <w:rFonts w:ascii="Times New Roman" w:hAnsi="Times New Roman"/>
          <w:b w:val="0"/>
          <w:i w:val="0"/>
          <w:color w:val="000000"/>
          <w:sz w:val="22"/>
        </w:rPr>
        <w:t>META OPEN SOURCE. React documentation. [S. l.], [s. d.]. Disponível em: https://react.dev/. Acesso em: 18 ago. 2026.</w:t>
      </w:r>
    </w:p>
    <w:p>
      <w:pPr>
        <w:spacing w:after="80"/>
        <w:ind w:firstLine="0" w:left="0"/>
        <w:jc w:val="left"/>
      </w:pPr>
      <w:r>
        <w:rPr>
          <w:rFonts w:ascii="Times New Roman" w:hAnsi="Times New Roman"/>
          <w:b w:val="0"/>
          <w:i w:val="0"/>
          <w:color w:val="000000"/>
          <w:sz w:val="22"/>
        </w:rPr>
        <w:t>NORMAN, Donald A. The design of everyday things. Revised and expanded edition. New York: Basic Books, 2013.</w:t>
      </w:r>
    </w:p>
    <w:p>
      <w:pPr/>
      <w:r>
        <w:t>SUPABASE. Password-based Auth. [S. l.], [s. d.]. Disponível em: https://supabase.com/docs/guides/auth/passwords. Acesso em: 24 set. 2026.</w:t>
      </w:r>
    </w:p>
    <w:p>
      <w:pPr/>
      <w:r>
        <w:t>SUPABASE. Storage Access Control. [S. l.], [s. d.]. Disponível em: https://supabase.com/docs/guides/storage/security/access-control. Acesso em: 25 set. 2026.</w:t>
      </w:r>
    </w:p>
    <w:p>
      <w:pPr/>
      <w:r>
        <w:t>SUPABASE. Row Level Security. [S. l.], [s. d.]. Disponível em: https://supabase.com/docs/guides/database/postgres/row-level-security. Acesso em: 25 set. 2026.</w:t>
      </w:r>
    </w:p>
    <w:p>
      <w:pPr>
        <w:spacing w:after="80"/>
        <w:ind w:firstLine="0" w:left="0"/>
        <w:jc w:val="left"/>
      </w:pPr>
      <w:r>
        <w:rPr>
          <w:rFonts w:ascii="Times New Roman" w:hAnsi="Times New Roman"/>
          <w:b w:val="0"/>
          <w:i w:val="0"/>
          <w:color w:val="000000"/>
          <w:sz w:val="22"/>
        </w:rPr>
        <w:t>SUPABASE. JavaScript: Introduction. [S. l.], [s. d.]. Disponível em: https://supabase.com/docs/reference/javascript/introduction. Acesso em: 24 set. 2026.</w:t>
      </w:r>
    </w:p>
    <w:p>
      <w:pPr>
        <w:spacing w:after="80"/>
        <w:ind w:firstLine="0" w:left="0"/>
        <w:jc w:val="left"/>
      </w:pPr>
      <w:r>
        <w:rPr>
          <w:rFonts w:ascii="Times New Roman" w:hAnsi="Times New Roman"/>
          <w:b w:val="0"/>
          <w:i w:val="0"/>
          <w:color w:val="000000"/>
          <w:sz w:val="22"/>
        </w:rPr>
        <w:t>TAILWIND LABS. Tailwind CSS documentation. [S. l.], [s. d.]. Disponível em: https://tailwindcss.com/docs. Acesso em: 18 ago. 2026.</w:t>
      </w:r>
    </w:p>
    <w:p>
      <w:pPr/>
      <w:r>
        <w:t>VERCEL. Vite on Vercel. [S. l.], [s. d.]. Disponível em: https://vercel.com/docs/frameworks/frontend/vite. Acesso em: 25 set. 2026.</w:t>
      </w:r>
    </w:p>
    <w:p>
      <w:pPr>
        <w:spacing w:after="80"/>
        <w:ind w:firstLine="0" w:left="0"/>
        <w:jc w:val="left"/>
      </w:pPr>
      <w:r>
        <w:rPr>
          <w:rFonts w:ascii="Times New Roman" w:hAnsi="Times New Roman"/>
          <w:b w:val="0"/>
          <w:i w:val="0"/>
          <w:color w:val="000000"/>
          <w:sz w:val="22"/>
        </w:rPr>
        <w:t>WORLD HEALTH ORGANIZATION. Global strategy on digital health 2020-2025. Geneva: WHO, 2021. Disponível em: https://www.who.int/publications/i/item/9789240020924. Acesso em: 18 ago. 2026.</w:t>
      </w:r>
    </w:p>
    <w:sectPr w:rsidR="005972E4" w:rsidRPr="005C6480">
      <w:pgSz w:w="11906" w:h="16838"/>
      <w:pgMar w:top="1417" w:right="1134" w:bottom="1417" w:left="1701"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D0235D"/>
    <w:multiLevelType w:val="hybridMultilevel"/>
    <w:tmpl w:val="8D70668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B061E26"/>
    <w:multiLevelType w:val="hybridMultilevel"/>
    <w:tmpl w:val="2A8A3F0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0B64C35"/>
    <w:multiLevelType w:val="hybridMultilevel"/>
    <w:tmpl w:val="5C1E789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11163DB8"/>
    <w:multiLevelType w:val="hybridMultilevel"/>
    <w:tmpl w:val="BE50929C"/>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11680007"/>
    <w:multiLevelType w:val="multilevel"/>
    <w:tmpl w:val="6A00F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765AEC"/>
    <w:multiLevelType w:val="multilevel"/>
    <w:tmpl w:val="C5108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1D1DAC"/>
    <w:multiLevelType w:val="multilevel"/>
    <w:tmpl w:val="07AA6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9E7F2B"/>
    <w:multiLevelType w:val="multilevel"/>
    <w:tmpl w:val="ACFCA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46304A"/>
    <w:multiLevelType w:val="multilevel"/>
    <w:tmpl w:val="765E9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D7393A"/>
    <w:multiLevelType w:val="multilevel"/>
    <w:tmpl w:val="3378F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1C7D9C"/>
    <w:multiLevelType w:val="multilevel"/>
    <w:tmpl w:val="55C4D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F95718F"/>
    <w:multiLevelType w:val="multilevel"/>
    <w:tmpl w:val="74207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462A06"/>
    <w:multiLevelType w:val="multilevel"/>
    <w:tmpl w:val="A998B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8F6202"/>
    <w:multiLevelType w:val="multilevel"/>
    <w:tmpl w:val="59800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CA0DAD"/>
    <w:multiLevelType w:val="multilevel"/>
    <w:tmpl w:val="B41065A8"/>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5" w15:restartNumberingAfterBreak="0">
    <w:nsid w:val="604B792E"/>
    <w:multiLevelType w:val="hybridMultilevel"/>
    <w:tmpl w:val="67B87E8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638C4E00"/>
    <w:multiLevelType w:val="multilevel"/>
    <w:tmpl w:val="17E88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445910"/>
    <w:multiLevelType w:val="multilevel"/>
    <w:tmpl w:val="E65C1CF4"/>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8" w15:restartNumberingAfterBreak="0">
    <w:nsid w:val="6E6A2EA0"/>
    <w:multiLevelType w:val="multilevel"/>
    <w:tmpl w:val="C1B4A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211CF2"/>
    <w:multiLevelType w:val="multilevel"/>
    <w:tmpl w:val="3C865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DD5277"/>
    <w:multiLevelType w:val="multilevel"/>
    <w:tmpl w:val="B9126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15"/>
  </w:num>
  <w:num w:numId="4">
    <w:abstractNumId w:val="0"/>
  </w:num>
  <w:num w:numId="5">
    <w:abstractNumId w:val="3"/>
  </w:num>
  <w:num w:numId="6">
    <w:abstractNumId w:val="6"/>
  </w:num>
  <w:num w:numId="7">
    <w:abstractNumId w:val="20"/>
  </w:num>
  <w:num w:numId="8">
    <w:abstractNumId w:val="8"/>
  </w:num>
  <w:num w:numId="9">
    <w:abstractNumId w:val="19"/>
  </w:num>
  <w:num w:numId="10">
    <w:abstractNumId w:val="4"/>
  </w:num>
  <w:num w:numId="11">
    <w:abstractNumId w:val="5"/>
  </w:num>
  <w:num w:numId="12">
    <w:abstractNumId w:val="18"/>
  </w:num>
  <w:num w:numId="13">
    <w:abstractNumId w:val="9"/>
  </w:num>
  <w:num w:numId="14">
    <w:abstractNumId w:val="14"/>
  </w:num>
  <w:num w:numId="15">
    <w:abstractNumId w:val="11"/>
  </w:num>
  <w:num w:numId="16">
    <w:abstractNumId w:val="7"/>
  </w:num>
  <w:num w:numId="17">
    <w:abstractNumId w:val="10"/>
  </w:num>
  <w:num w:numId="18">
    <w:abstractNumId w:val="12"/>
  </w:num>
  <w:num w:numId="19">
    <w:abstractNumId w:val="13"/>
  </w:num>
  <w:num w:numId="20">
    <w:abstractNumId w:val="16"/>
  </w:num>
  <w:num w:numId="2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1D8C"/>
    <w:rsid w:val="000304B8"/>
    <w:rsid w:val="00063F54"/>
    <w:rsid w:val="000920C9"/>
    <w:rsid w:val="000F1304"/>
    <w:rsid w:val="0018383F"/>
    <w:rsid w:val="001929A2"/>
    <w:rsid w:val="00201994"/>
    <w:rsid w:val="00282126"/>
    <w:rsid w:val="003C2004"/>
    <w:rsid w:val="003D33E0"/>
    <w:rsid w:val="0041318B"/>
    <w:rsid w:val="0048319D"/>
    <w:rsid w:val="004C7E04"/>
    <w:rsid w:val="005972E4"/>
    <w:rsid w:val="005C6480"/>
    <w:rsid w:val="00824787"/>
    <w:rsid w:val="008827ED"/>
    <w:rsid w:val="00895EE7"/>
    <w:rsid w:val="0092396B"/>
    <w:rsid w:val="009814F3"/>
    <w:rsid w:val="0098544B"/>
    <w:rsid w:val="009C52FD"/>
    <w:rsid w:val="00A05FB5"/>
    <w:rsid w:val="00A40674"/>
    <w:rsid w:val="00A80E68"/>
    <w:rsid w:val="00AB52F9"/>
    <w:rsid w:val="00BA079C"/>
    <w:rsid w:val="00BF01DF"/>
    <w:rsid w:val="00BF4710"/>
    <w:rsid w:val="00CD30F6"/>
    <w:rsid w:val="00CD5D26"/>
    <w:rsid w:val="00D82D90"/>
    <w:rsid w:val="00DA14C6"/>
    <w:rsid w:val="00E118BA"/>
    <w:rsid w:val="00ED7056"/>
    <w:rsid w:val="00FC1D8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894D8"/>
  <w15:docId w15:val="{9CDC1947-FA50-491B-90ED-A47DDABF3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pt-BR" w:eastAsia="pt-B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line="360" w:lineRule="auto" w:after="0"/>
    </w:pPr>
    <w:rPr>
      <w:rFonts w:ascii="Times New Roman" w:hAnsi="Times New Roman"/>
      <w:color w:val="000000"/>
      <w:sz w:val="24"/>
    </w:rPr>
  </w:style>
  <w:style w:type="paragraph" w:styleId="Ttulo1">
    <w:name w:val="heading 1"/>
    <w:basedOn w:val="Normal"/>
    <w:next w:val="Normal"/>
    <w:uiPriority w:val="9"/>
    <w:qFormat/>
    <w:pPr>
      <w:keepNext/>
      <w:keepLines/>
      <w:spacing w:before="240" w:after="120"/>
      <w:outlineLvl w:val="0"/>
    </w:pPr>
    <w:rPr>
      <w:rFonts w:ascii="Times New Roman" w:hAnsi="Times New Roman"/>
      <w:b/>
      <w:color w:val="000000"/>
      <w:sz w:val="24"/>
      <w:szCs w:val="32"/>
    </w:rPr>
  </w:style>
  <w:style w:type="paragraph" w:styleId="Ttulo2">
    <w:name w:val="heading 2"/>
    <w:basedOn w:val="Normal"/>
    <w:next w:val="Normal"/>
    <w:uiPriority w:val="9"/>
    <w:semiHidden/>
    <w:unhideWhenUsed/>
    <w:qFormat/>
    <w:pPr>
      <w:keepNext/>
      <w:keepLines/>
      <w:spacing w:before="240" w:after="120"/>
      <w:outlineLvl w:val="1"/>
    </w:pPr>
    <w:rPr>
      <w:rFonts w:ascii="Times New Roman" w:hAnsi="Times New Roman"/>
      <w:b/>
      <w:color w:val="000000"/>
      <w:sz w:val="24"/>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240" w:after="120"/>
    </w:pPr>
    <w:rPr>
      <w:rFonts w:ascii="Times New Roman" w:hAnsi="Times New Roman"/>
      <w:b/>
      <w:color w:val="000000"/>
      <w:sz w:val="28"/>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PargrafodaLista">
    <w:name w:val="List Paragraph"/>
    <w:basedOn w:val="Normal"/>
    <w:uiPriority w:val="34"/>
    <w:qFormat/>
    <w:rsid w:val="00CD5D26"/>
    <w:pPr>
      <w:ind w:left="720"/>
      <w:contextualSpacing/>
    </w:pPr>
  </w:style>
  <w:style w:type="character" w:styleId="Refdecomentrio">
    <w:name w:val="annotation reference"/>
    <w:basedOn w:val="Fontepargpadro"/>
    <w:uiPriority w:val="99"/>
    <w:semiHidden/>
    <w:unhideWhenUsed/>
    <w:rsid w:val="009C52FD"/>
    <w:rPr>
      <w:sz w:val="16"/>
      <w:szCs w:val="16"/>
    </w:rPr>
  </w:style>
  <w:style w:type="paragraph" w:styleId="Textodecomentrio">
    <w:name w:val="annotation text"/>
    <w:basedOn w:val="Normal"/>
    <w:link w:val="TextodecomentrioChar"/>
    <w:uiPriority w:val="99"/>
    <w:semiHidden/>
    <w:unhideWhenUsed/>
    <w:rsid w:val="009C52FD"/>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9C52FD"/>
    <w:rPr>
      <w:sz w:val="20"/>
      <w:szCs w:val="20"/>
    </w:rPr>
  </w:style>
  <w:style w:type="paragraph" w:styleId="Assuntodocomentrio">
    <w:name w:val="annotation subject"/>
    <w:basedOn w:val="Textodecomentrio"/>
    <w:next w:val="Textodecomentrio"/>
    <w:link w:val="AssuntodocomentrioChar"/>
    <w:uiPriority w:val="99"/>
    <w:semiHidden/>
    <w:unhideWhenUsed/>
    <w:rsid w:val="009C52FD"/>
    <w:rPr>
      <w:b/>
      <w:bCs/>
    </w:rPr>
  </w:style>
  <w:style w:type="character" w:customStyle="1" w:styleId="AssuntodocomentrioChar">
    <w:name w:val="Assunto do comentário Char"/>
    <w:basedOn w:val="TextodecomentrioChar"/>
    <w:link w:val="Assuntodocomentrio"/>
    <w:uiPriority w:val="99"/>
    <w:semiHidden/>
    <w:rsid w:val="009C52FD"/>
    <w:rPr>
      <w:b/>
      <w:bCs/>
      <w:sz w:val="20"/>
      <w:szCs w:val="20"/>
    </w:rPr>
  </w:style>
  <w:style w:type="paragraph" w:styleId="Textodebalo">
    <w:name w:val="Balloon Text"/>
    <w:basedOn w:val="Normal"/>
    <w:link w:val="TextodebaloChar"/>
    <w:uiPriority w:val="99"/>
    <w:semiHidden/>
    <w:unhideWhenUsed/>
    <w:rsid w:val="009C52FD"/>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9C52FD"/>
    <w:rPr>
      <w:rFonts w:ascii="Segoe UI" w:hAnsi="Segoe UI" w:cs="Segoe UI"/>
      <w:sz w:val="18"/>
      <w:szCs w:val="18"/>
    </w:rPr>
  </w:style>
  <w:style w:type="character" w:customStyle="1" w:styleId="ng-star-inserted">
    <w:name w:val="ng-star-inserted"/>
    <w:basedOn w:val="Fontepargpadro"/>
    <w:rsid w:val="009C52FD"/>
  </w:style>
  <w:style w:type="character" w:styleId="Forte">
    <w:name w:val="Strong"/>
    <w:basedOn w:val="Fontepargpadro"/>
    <w:uiPriority w:val="22"/>
    <w:qFormat/>
    <w:rsid w:val="005972E4"/>
    <w:rPr>
      <w:b/>
      <w:bCs/>
    </w:rPr>
  </w:style>
  <w:style w:type="paragraph" w:customStyle="1" w:styleId="pdq2pgselectionanchorcontainer">
    <w:name w:val="pdq2pg_selectionanchorcontainer"/>
    <w:basedOn w:val="Normal"/>
    <w:rsid w:val="005972E4"/>
    <w:pPr>
      <w:spacing w:before="100" w:beforeAutospacing="1" w:after="100" w:afterAutospacing="1" w:line="240" w:lineRule="auto"/>
    </w:pPr>
    <w:rPr>
      <w:rFonts w:ascii="Times New Roman" w:eastAsia="Times New Roman" w:hAnsi="Times New Roman" w:cs="Times New Roman"/>
      <w:szCs w:val="24"/>
    </w:rPr>
  </w:style>
  <w:style w:type="paragraph" w:styleId="NormalWeb">
    <w:name w:val="Normal (Web)"/>
    <w:basedOn w:val="Normal"/>
    <w:uiPriority w:val="99"/>
    <w:unhideWhenUsed/>
    <w:rsid w:val="005972E4"/>
    <w:pPr>
      <w:spacing w:before="100" w:beforeAutospacing="1" w:after="100" w:afterAutospacing="1" w:line="240" w:lineRule="auto"/>
    </w:pPr>
    <w:rPr>
      <w:rFonts w:ascii="Times New Roman" w:eastAsia="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582173">
      <w:bodyDiv w:val="1"/>
      <w:marLeft w:val="0"/>
      <w:marRight w:val="0"/>
      <w:marTop w:val="0"/>
      <w:marBottom w:val="0"/>
      <w:divBdr>
        <w:top w:val="none" w:sz="0" w:space="0" w:color="auto"/>
        <w:left w:val="none" w:sz="0" w:space="0" w:color="auto"/>
        <w:bottom w:val="none" w:sz="0" w:space="0" w:color="auto"/>
        <w:right w:val="none" w:sz="0" w:space="0" w:color="auto"/>
      </w:divBdr>
    </w:div>
    <w:div w:id="332954821">
      <w:bodyDiv w:val="1"/>
      <w:marLeft w:val="0"/>
      <w:marRight w:val="0"/>
      <w:marTop w:val="0"/>
      <w:marBottom w:val="0"/>
      <w:divBdr>
        <w:top w:val="none" w:sz="0" w:space="0" w:color="auto"/>
        <w:left w:val="none" w:sz="0" w:space="0" w:color="auto"/>
        <w:bottom w:val="none" w:sz="0" w:space="0" w:color="auto"/>
        <w:right w:val="none" w:sz="0" w:space="0" w:color="auto"/>
      </w:divBdr>
      <w:divsChild>
        <w:div w:id="2005551746">
          <w:marLeft w:val="0"/>
          <w:marRight w:val="0"/>
          <w:marTop w:val="0"/>
          <w:marBottom w:val="0"/>
          <w:divBdr>
            <w:top w:val="none" w:sz="0" w:space="0" w:color="auto"/>
            <w:left w:val="none" w:sz="0" w:space="0" w:color="auto"/>
            <w:bottom w:val="none" w:sz="0" w:space="0" w:color="auto"/>
            <w:right w:val="none" w:sz="0" w:space="0" w:color="auto"/>
          </w:divBdr>
        </w:div>
        <w:div w:id="1749182522">
          <w:marLeft w:val="0"/>
          <w:marRight w:val="0"/>
          <w:marTop w:val="0"/>
          <w:marBottom w:val="0"/>
          <w:divBdr>
            <w:top w:val="none" w:sz="0" w:space="0" w:color="auto"/>
            <w:left w:val="none" w:sz="0" w:space="0" w:color="auto"/>
            <w:bottom w:val="none" w:sz="0" w:space="0" w:color="auto"/>
            <w:right w:val="none" w:sz="0" w:space="0" w:color="auto"/>
          </w:divBdr>
        </w:div>
        <w:div w:id="289942126">
          <w:marLeft w:val="0"/>
          <w:marRight w:val="0"/>
          <w:marTop w:val="0"/>
          <w:marBottom w:val="0"/>
          <w:divBdr>
            <w:top w:val="none" w:sz="0" w:space="0" w:color="auto"/>
            <w:left w:val="none" w:sz="0" w:space="0" w:color="auto"/>
            <w:bottom w:val="none" w:sz="0" w:space="0" w:color="auto"/>
            <w:right w:val="none" w:sz="0" w:space="0" w:color="auto"/>
          </w:divBdr>
        </w:div>
        <w:div w:id="1217668056">
          <w:marLeft w:val="0"/>
          <w:marRight w:val="0"/>
          <w:marTop w:val="0"/>
          <w:marBottom w:val="0"/>
          <w:divBdr>
            <w:top w:val="none" w:sz="0" w:space="0" w:color="auto"/>
            <w:left w:val="none" w:sz="0" w:space="0" w:color="auto"/>
            <w:bottom w:val="none" w:sz="0" w:space="0" w:color="auto"/>
            <w:right w:val="none" w:sz="0" w:space="0" w:color="auto"/>
          </w:divBdr>
        </w:div>
        <w:div w:id="543366150">
          <w:marLeft w:val="0"/>
          <w:marRight w:val="0"/>
          <w:marTop w:val="0"/>
          <w:marBottom w:val="0"/>
          <w:divBdr>
            <w:top w:val="none" w:sz="0" w:space="0" w:color="auto"/>
            <w:left w:val="none" w:sz="0" w:space="0" w:color="auto"/>
            <w:bottom w:val="none" w:sz="0" w:space="0" w:color="auto"/>
            <w:right w:val="none" w:sz="0" w:space="0" w:color="auto"/>
          </w:divBdr>
        </w:div>
        <w:div w:id="262226015">
          <w:marLeft w:val="0"/>
          <w:marRight w:val="0"/>
          <w:marTop w:val="0"/>
          <w:marBottom w:val="0"/>
          <w:divBdr>
            <w:top w:val="none" w:sz="0" w:space="0" w:color="auto"/>
            <w:left w:val="none" w:sz="0" w:space="0" w:color="auto"/>
            <w:bottom w:val="none" w:sz="0" w:space="0" w:color="auto"/>
            <w:right w:val="none" w:sz="0" w:space="0" w:color="auto"/>
          </w:divBdr>
        </w:div>
      </w:divsChild>
    </w:div>
    <w:div w:id="406272124">
      <w:bodyDiv w:val="1"/>
      <w:marLeft w:val="0"/>
      <w:marRight w:val="0"/>
      <w:marTop w:val="0"/>
      <w:marBottom w:val="0"/>
      <w:divBdr>
        <w:top w:val="none" w:sz="0" w:space="0" w:color="auto"/>
        <w:left w:val="none" w:sz="0" w:space="0" w:color="auto"/>
        <w:bottom w:val="none" w:sz="0" w:space="0" w:color="auto"/>
        <w:right w:val="none" w:sz="0" w:space="0" w:color="auto"/>
      </w:divBdr>
    </w:div>
    <w:div w:id="549809807">
      <w:bodyDiv w:val="1"/>
      <w:marLeft w:val="0"/>
      <w:marRight w:val="0"/>
      <w:marTop w:val="0"/>
      <w:marBottom w:val="0"/>
      <w:divBdr>
        <w:top w:val="none" w:sz="0" w:space="0" w:color="auto"/>
        <w:left w:val="none" w:sz="0" w:space="0" w:color="auto"/>
        <w:bottom w:val="none" w:sz="0" w:space="0" w:color="auto"/>
        <w:right w:val="none" w:sz="0" w:space="0" w:color="auto"/>
      </w:divBdr>
      <w:divsChild>
        <w:div w:id="11665517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5035240">
      <w:bodyDiv w:val="1"/>
      <w:marLeft w:val="0"/>
      <w:marRight w:val="0"/>
      <w:marTop w:val="0"/>
      <w:marBottom w:val="0"/>
      <w:divBdr>
        <w:top w:val="none" w:sz="0" w:space="0" w:color="auto"/>
        <w:left w:val="none" w:sz="0" w:space="0" w:color="auto"/>
        <w:bottom w:val="none" w:sz="0" w:space="0" w:color="auto"/>
        <w:right w:val="none" w:sz="0" w:space="0" w:color="auto"/>
      </w:divBdr>
    </w:div>
    <w:div w:id="680595083">
      <w:bodyDiv w:val="1"/>
      <w:marLeft w:val="0"/>
      <w:marRight w:val="0"/>
      <w:marTop w:val="0"/>
      <w:marBottom w:val="0"/>
      <w:divBdr>
        <w:top w:val="none" w:sz="0" w:space="0" w:color="auto"/>
        <w:left w:val="none" w:sz="0" w:space="0" w:color="auto"/>
        <w:bottom w:val="none" w:sz="0" w:space="0" w:color="auto"/>
        <w:right w:val="none" w:sz="0" w:space="0" w:color="auto"/>
      </w:divBdr>
      <w:divsChild>
        <w:div w:id="1864633099">
          <w:marLeft w:val="0"/>
          <w:marRight w:val="0"/>
          <w:marTop w:val="0"/>
          <w:marBottom w:val="0"/>
          <w:divBdr>
            <w:top w:val="none" w:sz="0" w:space="0" w:color="auto"/>
            <w:left w:val="none" w:sz="0" w:space="0" w:color="auto"/>
            <w:bottom w:val="none" w:sz="0" w:space="0" w:color="auto"/>
            <w:right w:val="none" w:sz="0" w:space="0" w:color="auto"/>
          </w:divBdr>
          <w:divsChild>
            <w:div w:id="326904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566877">
      <w:bodyDiv w:val="1"/>
      <w:marLeft w:val="0"/>
      <w:marRight w:val="0"/>
      <w:marTop w:val="0"/>
      <w:marBottom w:val="0"/>
      <w:divBdr>
        <w:top w:val="none" w:sz="0" w:space="0" w:color="auto"/>
        <w:left w:val="none" w:sz="0" w:space="0" w:color="auto"/>
        <w:bottom w:val="none" w:sz="0" w:space="0" w:color="auto"/>
        <w:right w:val="none" w:sz="0" w:space="0" w:color="auto"/>
      </w:divBdr>
      <w:divsChild>
        <w:div w:id="912547701">
          <w:marLeft w:val="0"/>
          <w:marRight w:val="0"/>
          <w:marTop w:val="0"/>
          <w:marBottom w:val="0"/>
          <w:divBdr>
            <w:top w:val="none" w:sz="0" w:space="0" w:color="auto"/>
            <w:left w:val="none" w:sz="0" w:space="0" w:color="auto"/>
            <w:bottom w:val="none" w:sz="0" w:space="0" w:color="auto"/>
            <w:right w:val="none" w:sz="0" w:space="0" w:color="auto"/>
          </w:divBdr>
          <w:divsChild>
            <w:div w:id="1673681931">
              <w:marLeft w:val="0"/>
              <w:marRight w:val="0"/>
              <w:marTop w:val="0"/>
              <w:marBottom w:val="0"/>
              <w:divBdr>
                <w:top w:val="none" w:sz="0" w:space="0" w:color="auto"/>
                <w:left w:val="none" w:sz="0" w:space="0" w:color="auto"/>
                <w:bottom w:val="none" w:sz="0" w:space="0" w:color="auto"/>
                <w:right w:val="none" w:sz="0" w:space="0" w:color="auto"/>
              </w:divBdr>
              <w:divsChild>
                <w:div w:id="2118744682">
                  <w:marLeft w:val="0"/>
                  <w:marRight w:val="0"/>
                  <w:marTop w:val="0"/>
                  <w:marBottom w:val="0"/>
                  <w:divBdr>
                    <w:top w:val="none" w:sz="0" w:space="0" w:color="auto"/>
                    <w:left w:val="none" w:sz="0" w:space="0" w:color="auto"/>
                    <w:bottom w:val="none" w:sz="0" w:space="0" w:color="auto"/>
                    <w:right w:val="none" w:sz="0" w:space="0" w:color="auto"/>
                  </w:divBdr>
                  <w:divsChild>
                    <w:div w:id="1380784947">
                      <w:marLeft w:val="0"/>
                      <w:marRight w:val="0"/>
                      <w:marTop w:val="0"/>
                      <w:marBottom w:val="0"/>
                      <w:divBdr>
                        <w:top w:val="none" w:sz="0" w:space="0" w:color="auto"/>
                        <w:left w:val="none" w:sz="0" w:space="0" w:color="auto"/>
                        <w:bottom w:val="none" w:sz="0" w:space="0" w:color="auto"/>
                        <w:right w:val="none" w:sz="0" w:space="0" w:color="auto"/>
                      </w:divBdr>
                      <w:divsChild>
                        <w:div w:id="1366713776">
                          <w:blockQuote w:val="1"/>
                          <w:marLeft w:val="720"/>
                          <w:marRight w:val="720"/>
                          <w:marTop w:val="100"/>
                          <w:marBottom w:val="100"/>
                          <w:divBdr>
                            <w:top w:val="none" w:sz="0" w:space="0" w:color="auto"/>
                            <w:left w:val="none" w:sz="0" w:space="0" w:color="auto"/>
                            <w:bottom w:val="none" w:sz="0" w:space="0" w:color="auto"/>
                            <w:right w:val="none" w:sz="0" w:space="0" w:color="auto"/>
                          </w:divBdr>
                        </w:div>
                        <w:div w:id="870922376">
                          <w:blockQuote w:val="1"/>
                          <w:marLeft w:val="720"/>
                          <w:marRight w:val="720"/>
                          <w:marTop w:val="100"/>
                          <w:marBottom w:val="100"/>
                          <w:divBdr>
                            <w:top w:val="none" w:sz="0" w:space="0" w:color="auto"/>
                            <w:left w:val="none" w:sz="0" w:space="0" w:color="auto"/>
                            <w:bottom w:val="none" w:sz="0" w:space="0" w:color="auto"/>
                            <w:right w:val="none" w:sz="0" w:space="0" w:color="auto"/>
                          </w:divBdr>
                        </w:div>
                        <w:div w:id="1677534216">
                          <w:blockQuote w:val="1"/>
                          <w:marLeft w:val="720"/>
                          <w:marRight w:val="720"/>
                          <w:marTop w:val="100"/>
                          <w:marBottom w:val="100"/>
                          <w:divBdr>
                            <w:top w:val="none" w:sz="0" w:space="0" w:color="auto"/>
                            <w:left w:val="none" w:sz="0" w:space="0" w:color="auto"/>
                            <w:bottom w:val="none" w:sz="0" w:space="0" w:color="auto"/>
                            <w:right w:val="none" w:sz="0" w:space="0" w:color="auto"/>
                          </w:divBdr>
                        </w:div>
                        <w:div w:id="1725595569">
                          <w:blockQuote w:val="1"/>
                          <w:marLeft w:val="720"/>
                          <w:marRight w:val="720"/>
                          <w:marTop w:val="100"/>
                          <w:marBottom w:val="100"/>
                          <w:divBdr>
                            <w:top w:val="none" w:sz="0" w:space="0" w:color="auto"/>
                            <w:left w:val="none" w:sz="0" w:space="0" w:color="auto"/>
                            <w:bottom w:val="none" w:sz="0" w:space="0" w:color="auto"/>
                            <w:right w:val="none" w:sz="0" w:space="0" w:color="auto"/>
                          </w:divBdr>
                        </w:div>
                        <w:div w:id="38672810">
                          <w:marLeft w:val="0"/>
                          <w:marRight w:val="0"/>
                          <w:marTop w:val="0"/>
                          <w:marBottom w:val="0"/>
                          <w:divBdr>
                            <w:top w:val="none" w:sz="0" w:space="0" w:color="auto"/>
                            <w:left w:val="none" w:sz="0" w:space="0" w:color="auto"/>
                            <w:bottom w:val="none" w:sz="0" w:space="0" w:color="auto"/>
                            <w:right w:val="none" w:sz="0" w:space="0" w:color="auto"/>
                          </w:divBdr>
                          <w:divsChild>
                            <w:div w:id="1952973357">
                              <w:marLeft w:val="0"/>
                              <w:marRight w:val="0"/>
                              <w:marTop w:val="0"/>
                              <w:marBottom w:val="0"/>
                              <w:divBdr>
                                <w:top w:val="none" w:sz="0" w:space="0" w:color="auto"/>
                                <w:left w:val="none" w:sz="0" w:space="0" w:color="auto"/>
                                <w:bottom w:val="none" w:sz="0" w:space="0" w:color="auto"/>
                                <w:right w:val="none" w:sz="0" w:space="0" w:color="auto"/>
                              </w:divBdr>
                            </w:div>
                          </w:divsChild>
                        </w:div>
                        <w:div w:id="98532425">
                          <w:blockQuote w:val="1"/>
                          <w:marLeft w:val="720"/>
                          <w:marRight w:val="720"/>
                          <w:marTop w:val="100"/>
                          <w:marBottom w:val="100"/>
                          <w:divBdr>
                            <w:top w:val="none" w:sz="0" w:space="0" w:color="auto"/>
                            <w:left w:val="none" w:sz="0" w:space="0" w:color="auto"/>
                            <w:bottom w:val="none" w:sz="0" w:space="0" w:color="auto"/>
                            <w:right w:val="none" w:sz="0" w:space="0" w:color="auto"/>
                          </w:divBdr>
                        </w:div>
                        <w:div w:id="1436555038">
                          <w:blockQuote w:val="1"/>
                          <w:marLeft w:val="720"/>
                          <w:marRight w:val="720"/>
                          <w:marTop w:val="100"/>
                          <w:marBottom w:val="100"/>
                          <w:divBdr>
                            <w:top w:val="none" w:sz="0" w:space="0" w:color="auto"/>
                            <w:left w:val="none" w:sz="0" w:space="0" w:color="auto"/>
                            <w:bottom w:val="none" w:sz="0" w:space="0" w:color="auto"/>
                            <w:right w:val="none" w:sz="0" w:space="0" w:color="auto"/>
                          </w:divBdr>
                        </w:div>
                        <w:div w:id="1537356153">
                          <w:blockQuote w:val="1"/>
                          <w:marLeft w:val="720"/>
                          <w:marRight w:val="720"/>
                          <w:marTop w:val="100"/>
                          <w:marBottom w:val="100"/>
                          <w:divBdr>
                            <w:top w:val="none" w:sz="0" w:space="0" w:color="auto"/>
                            <w:left w:val="none" w:sz="0" w:space="0" w:color="auto"/>
                            <w:bottom w:val="none" w:sz="0" w:space="0" w:color="auto"/>
                            <w:right w:val="none" w:sz="0" w:space="0" w:color="auto"/>
                          </w:divBdr>
                        </w:div>
                        <w:div w:id="12460192">
                          <w:blockQuote w:val="1"/>
                          <w:marLeft w:val="720"/>
                          <w:marRight w:val="720"/>
                          <w:marTop w:val="100"/>
                          <w:marBottom w:val="100"/>
                          <w:divBdr>
                            <w:top w:val="none" w:sz="0" w:space="0" w:color="auto"/>
                            <w:left w:val="none" w:sz="0" w:space="0" w:color="auto"/>
                            <w:bottom w:val="none" w:sz="0" w:space="0" w:color="auto"/>
                            <w:right w:val="none" w:sz="0" w:space="0" w:color="auto"/>
                          </w:divBdr>
                        </w:div>
                        <w:div w:id="720984959">
                          <w:blockQuote w:val="1"/>
                          <w:marLeft w:val="720"/>
                          <w:marRight w:val="720"/>
                          <w:marTop w:val="100"/>
                          <w:marBottom w:val="100"/>
                          <w:divBdr>
                            <w:top w:val="none" w:sz="0" w:space="0" w:color="auto"/>
                            <w:left w:val="none" w:sz="0" w:space="0" w:color="auto"/>
                            <w:bottom w:val="none" w:sz="0" w:space="0" w:color="auto"/>
                            <w:right w:val="none" w:sz="0" w:space="0" w:color="auto"/>
                          </w:divBdr>
                        </w:div>
                        <w:div w:id="1011565581">
                          <w:blockQuote w:val="1"/>
                          <w:marLeft w:val="720"/>
                          <w:marRight w:val="720"/>
                          <w:marTop w:val="100"/>
                          <w:marBottom w:val="100"/>
                          <w:divBdr>
                            <w:top w:val="none" w:sz="0" w:space="0" w:color="auto"/>
                            <w:left w:val="none" w:sz="0" w:space="0" w:color="auto"/>
                            <w:bottom w:val="none" w:sz="0" w:space="0" w:color="auto"/>
                            <w:right w:val="none" w:sz="0" w:space="0" w:color="auto"/>
                          </w:divBdr>
                        </w:div>
                        <w:div w:id="17574337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11900874">
      <w:bodyDiv w:val="1"/>
      <w:marLeft w:val="0"/>
      <w:marRight w:val="0"/>
      <w:marTop w:val="0"/>
      <w:marBottom w:val="0"/>
      <w:divBdr>
        <w:top w:val="none" w:sz="0" w:space="0" w:color="auto"/>
        <w:left w:val="none" w:sz="0" w:space="0" w:color="auto"/>
        <w:bottom w:val="none" w:sz="0" w:space="0" w:color="auto"/>
        <w:right w:val="none" w:sz="0" w:space="0" w:color="auto"/>
      </w:divBdr>
      <w:divsChild>
        <w:div w:id="1852716929">
          <w:marLeft w:val="0"/>
          <w:marRight w:val="0"/>
          <w:marTop w:val="0"/>
          <w:marBottom w:val="0"/>
          <w:divBdr>
            <w:top w:val="none" w:sz="0" w:space="0" w:color="auto"/>
            <w:left w:val="none" w:sz="0" w:space="0" w:color="auto"/>
            <w:bottom w:val="none" w:sz="0" w:space="0" w:color="auto"/>
            <w:right w:val="none" w:sz="0" w:space="0" w:color="auto"/>
          </w:divBdr>
        </w:div>
        <w:div w:id="1835681399">
          <w:marLeft w:val="0"/>
          <w:marRight w:val="0"/>
          <w:marTop w:val="0"/>
          <w:marBottom w:val="0"/>
          <w:divBdr>
            <w:top w:val="none" w:sz="0" w:space="0" w:color="auto"/>
            <w:left w:val="none" w:sz="0" w:space="0" w:color="auto"/>
            <w:bottom w:val="none" w:sz="0" w:space="0" w:color="auto"/>
            <w:right w:val="none" w:sz="0" w:space="0" w:color="auto"/>
          </w:divBdr>
        </w:div>
        <w:div w:id="1466268893">
          <w:marLeft w:val="0"/>
          <w:marRight w:val="0"/>
          <w:marTop w:val="0"/>
          <w:marBottom w:val="0"/>
          <w:divBdr>
            <w:top w:val="none" w:sz="0" w:space="0" w:color="auto"/>
            <w:left w:val="none" w:sz="0" w:space="0" w:color="auto"/>
            <w:bottom w:val="none" w:sz="0" w:space="0" w:color="auto"/>
            <w:right w:val="none" w:sz="0" w:space="0" w:color="auto"/>
          </w:divBdr>
        </w:div>
        <w:div w:id="1431924408">
          <w:marLeft w:val="0"/>
          <w:marRight w:val="0"/>
          <w:marTop w:val="0"/>
          <w:marBottom w:val="0"/>
          <w:divBdr>
            <w:top w:val="none" w:sz="0" w:space="0" w:color="auto"/>
            <w:left w:val="none" w:sz="0" w:space="0" w:color="auto"/>
            <w:bottom w:val="none" w:sz="0" w:space="0" w:color="auto"/>
            <w:right w:val="none" w:sz="0" w:space="0" w:color="auto"/>
          </w:divBdr>
        </w:div>
        <w:div w:id="1074201469">
          <w:marLeft w:val="0"/>
          <w:marRight w:val="0"/>
          <w:marTop w:val="0"/>
          <w:marBottom w:val="0"/>
          <w:divBdr>
            <w:top w:val="none" w:sz="0" w:space="0" w:color="auto"/>
            <w:left w:val="none" w:sz="0" w:space="0" w:color="auto"/>
            <w:bottom w:val="none" w:sz="0" w:space="0" w:color="auto"/>
            <w:right w:val="none" w:sz="0" w:space="0" w:color="auto"/>
          </w:divBdr>
        </w:div>
        <w:div w:id="1266619488">
          <w:marLeft w:val="0"/>
          <w:marRight w:val="0"/>
          <w:marTop w:val="0"/>
          <w:marBottom w:val="0"/>
          <w:divBdr>
            <w:top w:val="none" w:sz="0" w:space="0" w:color="auto"/>
            <w:left w:val="none" w:sz="0" w:space="0" w:color="auto"/>
            <w:bottom w:val="none" w:sz="0" w:space="0" w:color="auto"/>
            <w:right w:val="none" w:sz="0" w:space="0" w:color="auto"/>
          </w:divBdr>
        </w:div>
      </w:divsChild>
    </w:div>
    <w:div w:id="1387339788">
      <w:bodyDiv w:val="1"/>
      <w:marLeft w:val="0"/>
      <w:marRight w:val="0"/>
      <w:marTop w:val="0"/>
      <w:marBottom w:val="0"/>
      <w:divBdr>
        <w:top w:val="none" w:sz="0" w:space="0" w:color="auto"/>
        <w:left w:val="none" w:sz="0" w:space="0" w:color="auto"/>
        <w:bottom w:val="none" w:sz="0" w:space="0" w:color="auto"/>
        <w:right w:val="none" w:sz="0" w:space="0" w:color="auto"/>
      </w:divBdr>
    </w:div>
    <w:div w:id="1583417290">
      <w:bodyDiv w:val="1"/>
      <w:marLeft w:val="0"/>
      <w:marRight w:val="0"/>
      <w:marTop w:val="0"/>
      <w:marBottom w:val="0"/>
      <w:divBdr>
        <w:top w:val="none" w:sz="0" w:space="0" w:color="auto"/>
        <w:left w:val="none" w:sz="0" w:space="0" w:color="auto"/>
        <w:bottom w:val="none" w:sz="0" w:space="0" w:color="auto"/>
        <w:right w:val="none" w:sz="0" w:space="0" w:color="auto"/>
      </w:divBdr>
      <w:divsChild>
        <w:div w:id="9164813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2005817">
      <w:bodyDiv w:val="1"/>
      <w:marLeft w:val="0"/>
      <w:marRight w:val="0"/>
      <w:marTop w:val="0"/>
      <w:marBottom w:val="0"/>
      <w:divBdr>
        <w:top w:val="none" w:sz="0" w:space="0" w:color="auto"/>
        <w:left w:val="none" w:sz="0" w:space="0" w:color="auto"/>
        <w:bottom w:val="none" w:sz="0" w:space="0" w:color="auto"/>
        <w:right w:val="none" w:sz="0" w:space="0" w:color="auto"/>
      </w:divBdr>
      <w:divsChild>
        <w:div w:id="1395856567">
          <w:marLeft w:val="0"/>
          <w:marRight w:val="0"/>
          <w:marTop w:val="0"/>
          <w:marBottom w:val="0"/>
          <w:divBdr>
            <w:top w:val="none" w:sz="0" w:space="0" w:color="auto"/>
            <w:left w:val="none" w:sz="0" w:space="0" w:color="auto"/>
            <w:bottom w:val="none" w:sz="0" w:space="0" w:color="auto"/>
            <w:right w:val="none" w:sz="0" w:space="0" w:color="auto"/>
          </w:divBdr>
        </w:div>
        <w:div w:id="1115292992">
          <w:marLeft w:val="0"/>
          <w:marRight w:val="0"/>
          <w:marTop w:val="0"/>
          <w:marBottom w:val="0"/>
          <w:divBdr>
            <w:top w:val="none" w:sz="0" w:space="0" w:color="auto"/>
            <w:left w:val="none" w:sz="0" w:space="0" w:color="auto"/>
            <w:bottom w:val="none" w:sz="0" w:space="0" w:color="auto"/>
            <w:right w:val="none" w:sz="0" w:space="0" w:color="auto"/>
          </w:divBdr>
        </w:div>
      </w:divsChild>
    </w:div>
    <w:div w:id="1614821952">
      <w:bodyDiv w:val="1"/>
      <w:marLeft w:val="0"/>
      <w:marRight w:val="0"/>
      <w:marTop w:val="0"/>
      <w:marBottom w:val="0"/>
      <w:divBdr>
        <w:top w:val="none" w:sz="0" w:space="0" w:color="auto"/>
        <w:left w:val="none" w:sz="0" w:space="0" w:color="auto"/>
        <w:bottom w:val="none" w:sz="0" w:space="0" w:color="auto"/>
        <w:right w:val="none" w:sz="0" w:space="0" w:color="auto"/>
      </w:divBdr>
    </w:div>
    <w:div w:id="20524171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5B87B6-0287-44F7-AE9D-257BCB8654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9</Pages>
  <Words>3346</Words>
  <Characters>18071</Characters>
  <Application>Microsoft Office Word</Application>
  <DocSecurity>0</DocSecurity>
  <Lines>150</Lines>
  <Paragraphs>42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MedConnect: Desenvolvimento de uma Plataforma Web para Agendamento e Teleatendimento em Clínicas Online</vt:lpstr>
      <vt:lpstr/>
    </vt:vector>
  </TitlesOfParts>
  <Company/>
  <LinksUpToDate>false</LinksUpToDate>
  <CharactersWithSpaces>21375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MedConnect Desenvolvimento de um Protótipo de Plataforma Web para Agendamento e Teleatendimento em Clínicas Online</dc:title>
  <dc:subject>Trabalho de Conclusão de Curso - Sistemas de Informação</dc:subject>
  <dc:creator>Davi Grigato Escano Rodrigues; Gustavo Queiroz Lacerda</dc:creator>
  <cp:keywords>telemedicina; saúde digital; desenvolvimento web; experiência do usuário</cp:keywords>
  <dc:description>Rascunho acadêmico em desenvolvimento</dc:description>
  <cp:lastModifiedBy>Rafael Teixeira dos Santos</cp:lastModifiedBy>
  <cp:revision>4</cp:revision>
  <dcterms:created xsi:type="dcterms:W3CDTF">2026-08-20T13:50:00Z</dcterms:created>
  <dcterms:modified xsi:type="dcterms:W3CDTF">2026-08-25T19:38:00Z</dcterms:modified>
</cp:coreProperties>
</file>