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before="0" w:after="0" w:line="360" w:lineRule="auto"/>
        <w:jc w:val="center"/>
      </w:pPr>
      <w:r>
        <w:rPr>
          <w:rFonts w:ascii="Arial" w:hAnsi="Arial"/>
          <w:b/>
          <w:i w:val="0"/>
          <w:caps/>
          <w:color w:val="000000"/>
          <w:sz w:val="28"/>
        </w:rPr>
        <w:t>MEDCONNECT PLATAFORMA WEB PARA ORGANIZAÇÃO DO ATENDIMENTO REMOTO</w:t>
      </w:r>
    </w:p>
    <w:p>
      <w:pPr>
        <w:spacing w:before="0" w:after="0" w:line="360" w:lineRule="auto"/>
        <w:jc w:val="center"/>
      </w:pPr>
      <w:r>
        <w:rPr>
          <w:rFonts w:ascii="Arial" w:hAnsi="Arial"/>
          <w:b w:val="0"/>
          <w:i w:val="0"/>
          <w:color w:val="000000"/>
          <w:sz w:val="24"/>
        </w:rPr>
      </w:r>
    </w:p>
    <w:p>
      <w:pPr>
        <w:spacing w:before="0" w:after="0" w:line="360" w:lineRule="auto"/>
        <w:jc w:val="center"/>
      </w:pPr>
      <w:r>
        <w:rPr>
          <w:rFonts w:ascii="Arial" w:hAnsi="Arial"/>
          <w:b/>
          <w:i w:val="0"/>
          <w:color w:val="000000"/>
          <w:sz w:val="24"/>
        </w:rPr>
        <w:t>Davi Grigato Escano Rodrigues¹; Gustavo Queiroz Lacerda¹; Rafael Teixeira dos Santos¹; [Nome do(a) orientador(a)]²</w:t>
      </w:r>
    </w:p>
    <w:p>
      <w:pPr>
        <w:spacing w:before="0" w:after="0" w:line="240" w:lineRule="auto"/>
        <w:jc w:val="center"/>
      </w:pPr>
      <w:r>
        <w:rPr>
          <w:rFonts w:ascii="Arial" w:hAnsi="Arial"/>
          <w:b w:val="0"/>
          <w:i w:val="0"/>
          <w:color w:val="000000"/>
          <w:sz w:val="20"/>
        </w:rPr>
        <w:t>¹Discentes do Curso de Sistemas de Informação - UGB/FERP</w:t>
      </w:r>
    </w:p>
    <w:p>
      <w:pPr>
        <w:spacing w:before="0" w:after="0" w:line="240" w:lineRule="auto"/>
        <w:jc w:val="center"/>
      </w:pPr>
      <w:r>
        <w:rPr>
          <w:rFonts w:ascii="Arial" w:hAnsi="Arial"/>
          <w:b w:val="0"/>
          <w:i w:val="0"/>
          <w:color w:val="000000"/>
          <w:sz w:val="20"/>
        </w:rPr>
        <w:t>²Docente orientador(a) do Curso de Sistemas de Informação - UGB/FERP</w:t>
      </w:r>
    </w:p>
    <w:p>
      <w:pPr>
        <w:spacing w:before="0" w:after="0" w:line="360" w:lineRule="auto"/>
        <w:jc w:val="center"/>
      </w:pPr>
      <w:r>
        <w:rPr>
          <w:rFonts w:ascii="Arial" w:hAnsi="Arial"/>
          <w:b w:val="0"/>
          <w:i w:val="0"/>
          <w:color w:val="000000"/>
          <w:sz w:val="24"/>
        </w:rPr>
      </w:r>
    </w:p>
    <w:p>
      <w:pPr>
        <w:spacing w:before="0" w:after="0" w:line="240" w:lineRule="auto"/>
        <w:jc w:val="both"/>
      </w:pPr>
      <w:r>
        <w:rPr>
          <w:rFonts w:ascii="Arial" w:hAnsi="Arial"/>
          <w:b w:val="0"/>
          <w:i w:val="0"/>
          <w:color w:val="000000"/>
          <w:sz w:val="24"/>
        </w:rPr>
        <w:t>Resumo: Este artigo apresenta o desenvolvimento da MedConnect, plataforma web responsiva voltada à organização remota da jornada do paciente. A solução reúne catálogo fictício de profissionais, agendamento persistido, fila vinculada, comunicação privada, link externo de vídeo, anexos privados e consulta de documentos em uma única interface. A pesquisa possui natureza aplicada e utiliza desenvolvimento incremental. Foram empregados React, Tailwind CSS, Framer Motion, PostgreSQL e serviços Supabase para autenticação, regras de acesso, banco de dados e armazenamento privado, além de Vercel para publicação. A verificação técnica confirmou cadastro, login, reserva, fila, mensagens, compartilhamento de link, envio e acesso autorizado a arquivos fictícios. Os resultados demonstram a viabilidade técnica do fluxo acadêmico, sem caracterizar serviço clínico, teleconsulta ou tratamento de dados reais de saúde.</w:t>
      </w:r>
    </w:p>
    <w:p>
      <w:pPr>
        <w:spacing w:before="120" w:after="120" w:line="240" w:lineRule="auto"/>
        <w:jc w:val="both"/>
      </w:pPr>
      <w:r>
        <w:rPr>
          <w:rFonts w:ascii="Arial" w:hAnsi="Arial"/>
          <w:b w:val="0"/>
          <w:i w:val="0"/>
          <w:color w:val="000000"/>
          <w:sz w:val="24"/>
        </w:rPr>
        <w:t>Palavras-chave: banco de dados; desenvolvimento web; experiência do usuário; saúde digital; telemedicina</w:t>
      </w:r>
    </w:p>
    <w:p>
      <w:pPr>
        <w:spacing w:before="240" w:after="0" w:line="360" w:lineRule="auto"/>
        <w:jc w:val="left"/>
      </w:pPr>
      <w:r>
        <w:rPr>
          <w:rFonts w:ascii="Arial" w:hAnsi="Arial"/>
          <w:b/>
          <w:i w:val="0"/>
          <w:color w:val="000000"/>
          <w:sz w:val="24"/>
        </w:rPr>
        <w:t>INTRODUÇÃO</w:t>
      </w:r>
    </w:p>
    <w:p>
      <w:pPr>
        <w:spacing w:before="0" w:after="0" w:line="360" w:lineRule="auto"/>
        <w:jc w:val="both"/>
      </w:pPr>
      <w:r>
        <w:rPr>
          <w:rFonts w:ascii="Arial" w:hAnsi="Arial"/>
          <w:b w:val="0"/>
          <w:i w:val="0"/>
          <w:color w:val="000000"/>
          <w:sz w:val="24"/>
        </w:rPr>
        <w:t>A ampliação do uso de tecnologias digitais na saúde cria possibilidades para organizar o acesso à informação e aproximar pacientes e profissionais. A Estratégia Global de Saúde Digital da Organização Mundial da Saúde ressalta que iniciativas digitais precisam articular recursos tecnológicos, humanos, financeiros e organizacionais para gerar benefícios sustentáveis (WORLD HEALTH ORGANIZATION, 2021). Nesse contexto, soluções de teleatendimento dependem também de fluxos compreensíveis para descoberta de profissionais, agendamento, comunicação e acompanhamento do usuário.</w:t>
      </w:r>
    </w:p>
    <w:p>
      <w:pPr>
        <w:spacing w:before="0" w:after="0" w:line="360" w:lineRule="auto"/>
        <w:jc w:val="both"/>
      </w:pPr>
      <w:r>
        <w:rPr>
          <w:rFonts w:ascii="Arial" w:hAnsi="Arial"/>
          <w:b w:val="0"/>
          <w:i w:val="0"/>
          <w:color w:val="000000"/>
          <w:sz w:val="24"/>
        </w:rPr>
        <w:t>No Brasil, a Lei nº 14.510/2022 autorizou e disciplinou a prática da telessaúde em todo o território nacional, prevendo autonomia profissional e consentimento livre e informado do paciente (BRASIL, 2022a). A Resolução CFM nº 2.314/2022 regula a telemedicina como forma de serviços médicos mediados por tecnologias de comunicação (CONSELHO FEDERAL DE MEDICINA, 2022). Esses marcos reforçam que clareza, privacidade e responsabilidade profissional devem orientar o desenho de plataformas nesse domínio.</w:t>
      </w:r>
    </w:p>
    <w:p>
      <w:pPr>
        <w:spacing w:before="0" w:after="0" w:line="360" w:lineRule="auto"/>
        <w:jc w:val="both"/>
      </w:pPr>
      <w:r>
        <w:rPr>
          <w:rFonts w:ascii="Arial" w:hAnsi="Arial"/>
          <w:b w:val="0"/>
          <w:i w:val="0"/>
          <w:color w:val="000000"/>
          <w:sz w:val="24"/>
        </w:rPr>
        <w:t>O problema de pesquisa consiste em compreender como uma plataforma web responsiva pode contribuir para organizar o acesso remoto do paciente a etapas do atendimento médico, reduzindo a necessidade de deslocamento para atividades que podem ser mediadas digitalmente. O estudo se justifica socialmente por explorar alternativas para pessoas com distância geográfica, limitações de mobilidade ou rotina incompatível com deslocamentos; tecnologicamente, por aplicar desenvolvimento web responsivo e persistência de dados; e academicamente, por articular requisitos, interface, experiência do usuário e proteção de dados.</w:t>
      </w:r>
    </w:p>
    <w:p>
      <w:pPr>
        <w:spacing w:before="0" w:after="0" w:line="360" w:lineRule="auto"/>
        <w:jc w:val="both"/>
      </w:pPr>
      <w:r>
        <w:rPr>
          <w:rFonts w:ascii="Arial" w:hAnsi="Arial"/>
          <w:b w:val="0"/>
          <w:i w:val="0"/>
          <w:color w:val="000000"/>
          <w:sz w:val="24"/>
        </w:rPr>
        <w:t>O objetivo geral foi desenvolver uma plataforma web responsiva para apoiar a organização remota da jornada do paciente. Os objetivos específicos foram apresentar profissionais fictícios, estruturar agendamento e fila, disponibilizar comunicação privada e anexos por consulta, permitir acesso a documentos compartilhados, aplicar práticas de responsividade e registrar as limitações do projeto. A pesquisa é aplicada, com abordagem qualitativa para definição de requisitos e desenvolvimento incremental como procedimento técnico.</w:t>
      </w:r>
    </w:p>
    <w:p>
      <w:pPr>
        <w:spacing w:before="0" w:after="0" w:line="360" w:lineRule="auto"/>
        <w:jc w:val="both"/>
      </w:pPr>
      <w:r>
        <w:rPr>
          <w:rFonts w:ascii="Arial" w:hAnsi="Arial"/>
          <w:b w:val="0"/>
          <w:i w:val="0"/>
          <w:color w:val="000000"/>
          <w:sz w:val="24"/>
        </w:rPr>
        <w:t>A MedConnect é delimitada como aplicação acadêmica. Todas as contas, profissionais, horários, mensagens e arquivos usados na verificação são fictícios. O sistema não opera como clínica, não realiza teleconsultas, não hospeda vídeo e não deve receber informações clínicas, documentos ou dados pessoais reais.</w:t>
      </w:r>
    </w:p>
    <w:p>
      <w:pPr>
        <w:spacing w:before="240" w:after="0" w:line="360" w:lineRule="auto"/>
        <w:jc w:val="left"/>
      </w:pPr>
      <w:r>
        <w:rPr>
          <w:rFonts w:ascii="Arial" w:hAnsi="Arial"/>
          <w:b/>
          <w:i w:val="0"/>
          <w:color w:val="000000"/>
          <w:sz w:val="24"/>
        </w:rPr>
        <w:t>REFERENCIAL TEÓRICO</w:t>
      </w:r>
    </w:p>
    <w:p>
      <w:pPr>
        <w:spacing w:before="0" w:after="0" w:line="360" w:lineRule="auto"/>
        <w:jc w:val="both"/>
      </w:pPr>
      <w:r>
        <w:rPr>
          <w:rFonts w:ascii="Arial" w:hAnsi="Arial"/>
          <w:b w:val="0"/>
          <w:i w:val="0"/>
          <w:color w:val="000000"/>
          <w:sz w:val="24"/>
        </w:rPr>
        <w:t>A saúde digital compreende o uso de recursos tecnológicos para apoiar atividades relacionadas à saúde. Em uma plataforma de teleatendimento, a experiência do paciente começa antes da consulta: é necessário reconhecer especialidades, compreender informações, confirmar uma solicitação e localizar o meio de acesso ao atendimento. A plataforma pode, portanto, atuar como camada de organização da jornada sem substituir a avaliação e a decisão do profissional de saúde.</w:t>
      </w:r>
    </w:p>
    <w:p>
      <w:pPr>
        <w:spacing w:before="0" w:after="0" w:line="360" w:lineRule="auto"/>
        <w:jc w:val="both"/>
      </w:pPr>
      <w:r>
        <w:rPr>
          <w:rFonts w:ascii="Arial" w:hAnsi="Arial"/>
          <w:b w:val="0"/>
          <w:i w:val="0"/>
          <w:color w:val="000000"/>
          <w:sz w:val="24"/>
        </w:rPr>
        <w:t>O recorte da MedConnect privilegia tarefas administrativas e comunicacionais. A aplicação oferece cadastro e login de contas acadêmicas, área profissional restrita e vínculo entre mensagem, arquivo e consulta. O profissional pode compartilhar um link HTTPS de plataforma externa de vídeo. Não há fornecedor de vídeo incorporado, prontuário eletrônico, prescrição digital válida ou mecanismo de uso clínico.</w:t>
      </w:r>
    </w:p>
    <w:p>
      <w:pPr>
        <w:spacing w:before="0" w:after="0" w:line="360" w:lineRule="auto"/>
        <w:jc w:val="both"/>
      </w:pPr>
      <w:r>
        <w:rPr>
          <w:rFonts w:ascii="Arial" w:hAnsi="Arial"/>
          <w:b w:val="0"/>
          <w:i w:val="0"/>
          <w:color w:val="000000"/>
          <w:sz w:val="24"/>
        </w:rPr>
        <w:t>Interfaces voltadas à saúde exigem linguagem direta, hierarquia visual e ações previsíveis. A MedConnect utiliza contraste, cartões, espaços em branco e botões com áreas de toque adequadas para reduzir esforço de interpretação. A navegação apresenta somente as opções necessárias ao fluxo e revela ações complementares, como anexos, somente quando solicitadas.</w:t>
      </w:r>
    </w:p>
    <w:p>
      <w:pPr>
        <w:spacing w:before="0" w:after="0" w:line="360" w:lineRule="auto"/>
        <w:jc w:val="both"/>
      </w:pPr>
      <w:r>
        <w:rPr>
          <w:rFonts w:ascii="Arial" w:hAnsi="Arial"/>
          <w:b w:val="0"/>
          <w:i w:val="0"/>
          <w:color w:val="000000"/>
          <w:sz w:val="24"/>
        </w:rPr>
        <w:t>O design responsivo é um requisito de acesso. Um fluxo restrito a telas amplas exclui pessoas que dependem de telefones; por isso, a implementação adota abordagem mobile first, com grades e elementos reorganizados conforme a largura disponível. Animações discretas oferecem feedback de interação, sem substituir informação textual.</w:t>
      </w:r>
    </w:p>
    <w:p>
      <w:pPr>
        <w:spacing w:before="0" w:after="0" w:line="360" w:lineRule="auto"/>
        <w:jc w:val="both"/>
      </w:pPr>
      <w:r>
        <w:rPr>
          <w:rFonts w:ascii="Arial" w:hAnsi="Arial"/>
          <w:b w:val="0"/>
          <w:i w:val="0"/>
          <w:color w:val="000000"/>
          <w:sz w:val="24"/>
        </w:rPr>
        <w:t>Dados de saúde são dados pessoais sensíveis segundo a Lei Geral de Proteção de Dados Pessoais (BRASIL, 2018). Por essa razão, a aplicação trabalha somente com dados fictícios. A integração remota abrange catálogo, perfis, consultas, fila, mensagens e metadados de arquivos, sem utilização de CPF, endereço, informações clínicas ou documentos reais.</w:t>
      </w:r>
    </w:p>
    <w:p>
      <w:pPr>
        <w:spacing w:before="0" w:after="0" w:line="360" w:lineRule="auto"/>
        <w:jc w:val="both"/>
      </w:pPr>
      <w:r>
        <w:rPr>
          <w:rFonts w:ascii="Arial" w:hAnsi="Arial"/>
          <w:b w:val="0"/>
          <w:i w:val="0"/>
          <w:color w:val="000000"/>
          <w:sz w:val="24"/>
        </w:rPr>
        <w:t>A implementação utiliza React para componentes e estados de interface, Tailwind CSS para responsividade, Framer Motion para transições e Lucide React para ícones. PostgreSQL e os serviços Supabase apoiam banco de dados, autenticação, regras de acesso por registro e armazenamento privado. A Vercel disponibiliza a aplicação Vite em endereço web, sem expor credenciais administrativas ao cliente (SUPABASE, [s. d.]; VERCEL, [s. d.]).</w:t>
      </w:r>
    </w:p>
    <w:p>
      <w:pPr>
        <w:spacing w:before="240" w:after="0" w:line="360" w:lineRule="auto"/>
        <w:jc w:val="left"/>
      </w:pPr>
      <w:r>
        <w:rPr>
          <w:rFonts w:ascii="Arial" w:hAnsi="Arial"/>
          <w:b/>
          <w:i w:val="0"/>
          <w:color w:val="000000"/>
          <w:sz w:val="24"/>
        </w:rPr>
        <w:t>MATERIAIS E MÉTODOS</w:t>
      </w:r>
    </w:p>
    <w:p>
      <w:pPr>
        <w:spacing w:before="0" w:after="0" w:line="360" w:lineRule="auto"/>
        <w:jc w:val="both"/>
      </w:pPr>
      <w:r>
        <w:rPr>
          <w:rFonts w:ascii="Arial" w:hAnsi="Arial"/>
          <w:b w:val="0"/>
          <w:i w:val="0"/>
          <w:color w:val="000000"/>
          <w:sz w:val="24"/>
        </w:rPr>
        <w:t>A pesquisa foi conduzida como desenvolvimento aplicado de software. O processo incremental partiu da identificação de uma necessidade da jornada do paciente, seguida por implementação de interface, modelagem de dados, definição de regra de acesso, verificação técnica e atualização da documentação acadêmica. Esse procedimento permitiu distinguir funcionalidades planejadas de funcionalidades efetivamente verificadas.</w:t>
      </w:r>
    </w:p>
    <w:p>
      <w:pPr>
        <w:spacing w:before="0" w:after="0" w:line="360" w:lineRule="auto"/>
        <w:jc w:val="both"/>
      </w:pPr>
      <w:r>
        <w:rPr>
          <w:rFonts w:ascii="Arial" w:hAnsi="Arial"/>
          <w:b w:val="0"/>
          <w:i w:val="0"/>
          <w:color w:val="000000"/>
          <w:sz w:val="24"/>
        </w:rPr>
        <w:t>O catálogo de profissionais foi organizado na tabela professionals, com informações fictícias de nome, especialidade e descrição. A leitura é realizada pela interface com a biblioteca supabase-js. Cadastro e login utilizam Supabase Auth; cada conta recebe um perfil com papel de paciente. Uma conta profissional é vinculada administrativamente a um profissional fictício, sem abertura de cadastro profissional ao público.</w:t>
      </w:r>
    </w:p>
    <w:p>
      <w:pPr>
        <w:spacing w:before="0" w:after="0" w:line="360" w:lineRule="auto"/>
        <w:jc w:val="both"/>
      </w:pPr>
      <w:r>
        <w:rPr>
          <w:rFonts w:ascii="Arial" w:hAnsi="Arial"/>
          <w:b w:val="0"/>
          <w:i w:val="0"/>
          <w:color w:val="000000"/>
          <w:sz w:val="24"/>
        </w:rPr>
        <w:t>Para o agendamento, foram utilizadas tabelas de horários e consultas. A função de reserva verifica disponibilidade da vaga, impede duplicidade e evita sobreposição de horários ativos para o mesmo paciente. A fila é criada a partir da consulta e só pode ser visualizada pela conta vinculada. Essas regras são aplicadas no banco, reduzindo a dependência de validação exclusiva no navegador.</w:t>
      </w:r>
    </w:p>
    <w:p>
      <w:pPr>
        <w:spacing w:before="0" w:after="0" w:line="360" w:lineRule="auto"/>
        <w:jc w:val="both"/>
      </w:pPr>
      <w:r>
        <w:rPr>
          <w:rFonts w:ascii="Arial" w:hAnsi="Arial"/>
          <w:b w:val="0"/>
          <w:i w:val="0"/>
          <w:color w:val="000000"/>
          <w:sz w:val="24"/>
        </w:rPr>
        <w:t>As mensagens são armazenadas por consulta. O paciente lê e envia conteúdo somente na própria consulta; a conta profissional lê e responde somente às consultas atribuídas ao seu perfil. O compartilhamento de vídeo ocorre por link HTTPS externo, sem hospedagem de vídeo pela MedConnect.</w:t>
      </w:r>
    </w:p>
    <w:p>
      <w:pPr>
        <w:spacing w:before="0" w:after="0" w:line="360" w:lineRule="auto"/>
        <w:jc w:val="both"/>
      </w:pPr>
      <w:r>
        <w:rPr>
          <w:rFonts w:ascii="Arial" w:hAnsi="Arial"/>
          <w:b w:val="0"/>
          <w:i w:val="0"/>
          <w:color w:val="000000"/>
          <w:sz w:val="24"/>
        </w:rPr>
        <w:t>Os anexos são registrados em tabela de documentos da consulta e enviados ao bucket privado appointment-documents. São aceitos, para a demonstração, PDF, JPEG e PNG de até 5 MB. O paciente pode inserir resultado de exame, imagem ou outro anexo fictício; a conta profissional pode inserir receita, solicitação de exame ou outro documento fictício. O acesso ao arquivo depende da consulta vinculada e o download utiliza URL temporária assinada.</w:t>
      </w:r>
    </w:p>
    <w:p>
      <w:pPr>
        <w:spacing w:before="0" w:after="0" w:line="360" w:lineRule="auto"/>
        <w:jc w:val="both"/>
      </w:pPr>
      <w:r>
        <w:rPr>
          <w:rFonts w:ascii="Arial" w:hAnsi="Arial"/>
          <w:b w:val="0"/>
          <w:i w:val="0"/>
          <w:color w:val="000000"/>
          <w:sz w:val="24"/>
        </w:rPr>
        <w:t>A verificação técnica incluiu compilação de produção, leitura do catálogo, criação e confirmação de contas, reserva de horário, criação de fila, troca de mensagens entre paciente e profissional, compartilhamento de link HTTPS, envio e acesso de arquivo fictício e consulta do documento na área Meus registros. A versão publicada também foi observada na largura de 390 x 844 pixels na página de acesso, sem corte dos textos, campos ou botões.</w:t>
      </w:r>
    </w:p>
    <w:p>
      <w:pPr>
        <w:spacing w:before="0" w:after="0" w:line="360" w:lineRule="auto"/>
        <w:jc w:val="both"/>
      </w:pPr>
      <w:r>
        <w:rPr>
          <w:rFonts w:ascii="Arial" w:hAnsi="Arial"/>
          <w:b w:val="0"/>
          <w:i w:val="0"/>
          <w:color w:val="000000"/>
          <w:sz w:val="24"/>
        </w:rPr>
        <w:t>Os procedimentos não equivalem a validação clínica, avaliação de segurança abrangente, teste de desempenho ou estudo de usabilidade com participantes. Não foram inseridos dados reais de saúde, documentos reais, CPF ou endereço.</w:t>
      </w:r>
    </w:p>
    <w:p>
      <w:pPr>
        <w:spacing w:before="240" w:after="0" w:line="360" w:lineRule="auto"/>
        <w:jc w:val="left"/>
      </w:pPr>
      <w:r>
        <w:rPr>
          <w:rFonts w:ascii="Arial" w:hAnsi="Arial"/>
          <w:b/>
          <w:i w:val="0"/>
          <w:color w:val="000000"/>
          <w:sz w:val="24"/>
        </w:rPr>
        <w:t>RESULTADOS E DISCUSSÃO</w:t>
      </w:r>
    </w:p>
    <w:p>
      <w:pPr>
        <w:spacing w:before="0" w:after="0" w:line="360" w:lineRule="auto"/>
        <w:jc w:val="both"/>
      </w:pPr>
      <w:r>
        <w:rPr>
          <w:rFonts w:ascii="Arial" w:hAnsi="Arial"/>
          <w:b w:val="0"/>
          <w:i w:val="0"/>
          <w:color w:val="000000"/>
          <w:sz w:val="24"/>
        </w:rPr>
        <w:t>A MedConnect foi implementada com páginas de início, agendamento, sala de espera, atendimento, registros e perfil. A composição em componentes reutilizáveis favoreceu consistência visual e separação das responsabilidades de interface. A aplicação foi compilada e publicada, permitindo acesso externo ao mesmo ambiente de dados fictícios. Essa publicação demonstra disponibilidade técnica da interface, não operação de uma clínica.</w:t>
      </w:r>
    </w:p>
    <w:p>
      <w:pPr>
        <w:spacing w:before="0" w:after="0" w:line="360" w:lineRule="auto"/>
        <w:jc w:val="both"/>
      </w:pPr>
      <w:r>
        <w:rPr>
          <w:rFonts w:ascii="Arial" w:hAnsi="Arial"/>
          <w:b w:val="0"/>
          <w:i w:val="0"/>
          <w:color w:val="000000"/>
          <w:sz w:val="24"/>
        </w:rPr>
        <w:t>Na descoberta de profissionais, a interface passou a consultar o catálogo remoto e a tratar estados de carregamento, ausência de registros e erro. O resultado aproxima o fluxo de uma fonte persistente, mas o catálogo permanece reduzido e não apresenta agenda real, avaliações, imagens ou credenciais profissionais.</w:t>
      </w:r>
    </w:p>
    <w:p>
      <w:pPr>
        <w:spacing w:before="0" w:after="0" w:line="360" w:lineRule="auto"/>
        <w:jc w:val="both"/>
      </w:pPr>
      <w:r>
        <w:rPr>
          <w:rFonts w:ascii="Arial" w:hAnsi="Arial"/>
          <w:b w:val="0"/>
          <w:i w:val="0"/>
          <w:color w:val="000000"/>
          <w:sz w:val="24"/>
        </w:rPr>
        <w:t>O agendamento deixou de depender apenas de estado local. A reserva persiste o vínculo entre paciente, profissional e horário, remove a vaga da lista disponível e previne conflito de reserva. A fila também passou a ser associada à consulta; em atualização administrativa controlada, a posição e o status foram exibidos na tela do paciente. Ainda não há atualização automática em tempo real ou estimativa de espera.</w:t>
      </w:r>
    </w:p>
    <w:p>
      <w:pPr>
        <w:spacing w:before="0" w:after="0" w:line="360" w:lineRule="auto"/>
        <w:jc w:val="both"/>
      </w:pPr>
      <w:r>
        <w:rPr>
          <w:rFonts w:ascii="Arial" w:hAnsi="Arial"/>
          <w:b w:val="0"/>
          <w:i w:val="0"/>
          <w:color w:val="000000"/>
          <w:sz w:val="24"/>
        </w:rPr>
        <w:t>O atendimento reúne chat privado por consulta e envio de link externo. O profissional visualiza somente consultas atribuídas ao próprio perfil, identifica o paciente vinculado e responde no mesmo contexto. Essa separação restringe a visualização no cenário acadêmico, mas não substitui validação de identidade, auditoria abrangente ou controle clínico de comunicação.</w:t>
      </w:r>
    </w:p>
    <w:p>
      <w:pPr>
        <w:spacing w:before="0" w:after="0" w:line="360" w:lineRule="auto"/>
        <w:jc w:val="both"/>
      </w:pPr>
      <w:r>
        <w:rPr>
          <w:rFonts w:ascii="Arial" w:hAnsi="Arial"/>
          <w:b w:val="0"/>
          <w:i w:val="0"/>
          <w:color w:val="000000"/>
          <w:sz w:val="24"/>
        </w:rPr>
        <w:t>Os anexos privados foram integrados ao chat por um botão ao lado do campo de mensagem, evitando que o painel de conversa fique visualmente carregado. O envio, a listagem e o download são disponibilizados apenas quando o usuário abre esse controle. O fluxo foi verificado com arquivos fictícios entre as contas vinculadas à mesma consulta.</w:t>
      </w:r>
    </w:p>
    <w:p>
      <w:pPr>
        <w:spacing w:before="0" w:after="0" w:line="360" w:lineRule="auto"/>
        <w:jc w:val="both"/>
      </w:pPr>
      <w:r>
        <w:rPr>
          <w:rFonts w:ascii="Arial" w:hAnsi="Arial"/>
          <w:b w:val="0"/>
          <w:i w:val="0"/>
          <w:color w:val="000000"/>
          <w:sz w:val="24"/>
        </w:rPr>
        <w:t>A área Meus registros passou a consultar os documentos autorizados da conta e a oferecer download. Dessa forma, um arquivo compartilhado na consulta não fica restrito ao histórico do chat. O histórico de consultas exibido na interface permanece ilustrativo e não constitui prontuário eletrônico.</w:t>
      </w:r>
    </w:p>
    <w:p>
      <w:pPr>
        <w:spacing w:before="0" w:after="0" w:line="360" w:lineRule="auto"/>
        <w:jc w:val="both"/>
      </w:pPr>
      <w:r>
        <w:rPr>
          <w:rFonts w:ascii="Arial" w:hAnsi="Arial"/>
          <w:b w:val="0"/>
          <w:i w:val="0"/>
          <w:color w:val="000000"/>
          <w:sz w:val="24"/>
        </w:rPr>
        <w:t>A observação da página de acesso em largura de celular confirmou a reorganização visual dos elementos na dimensão avaliada. Contudo, não houve avaliação formal com participantes, nem validação em uma variedade de dispositivos. Portanto, a responsividade observada representa evidência técnica inicial, não comprovação de usabilidade.</w:t>
      </w:r>
    </w:p>
    <w:p>
      <w:pPr>
        <w:spacing w:before="0" w:after="0" w:line="360" w:lineRule="auto"/>
        <w:jc w:val="both"/>
      </w:pPr>
      <w:r>
        <w:rPr>
          <w:rFonts w:ascii="Arial" w:hAnsi="Arial"/>
          <w:b w:val="0"/>
          <w:i w:val="0"/>
          <w:color w:val="000000"/>
          <w:sz w:val="24"/>
        </w:rPr>
        <w:t>As políticas de Row Level Security restringem perfis, consultas, mensagens e documentos aos vínculos previstos. Os arquivos permanecem em armazenamento privado e o download é entregue por URL temporária. Essas medidas reduzem exposição no cenário demonstrativo, mas não substituem políticas de privacidade, consentimento, auditoria, backup, governança e demais controles necessários a uma operação clínica.</w:t>
      </w:r>
    </w:p>
    <w:p>
      <w:pPr>
        <w:spacing w:before="0" w:after="0" w:line="360" w:lineRule="auto"/>
        <w:jc w:val="both"/>
      </w:pPr>
      <w:r>
        <w:rPr>
          <w:rFonts w:ascii="Arial" w:hAnsi="Arial"/>
          <w:b w:val="0"/>
          <w:i w:val="0"/>
          <w:color w:val="000000"/>
          <w:sz w:val="24"/>
        </w:rPr>
        <w:t>A Tabela 1 relaciona os objetivos do estudo às evidências verificadas e às limitações remanescentes. A síntese evita que a existência de uma tela ou de uma integração seja interpretada como prova de uso clínico.</w:t>
      </w:r>
    </w:p>
    <w:p>
      <w:pPr>
        <w:spacing w:before="120" w:after="60" w:line="240" w:lineRule="auto"/>
        <w:jc w:val="center"/>
      </w:pPr>
      <w:r>
        <w:rPr>
          <w:rFonts w:ascii="Arial" w:hAnsi="Arial"/>
          <w:b w:val="0"/>
          <w:i w:val="0"/>
          <w:color w:val="000000"/>
          <w:sz w:val="22"/>
        </w:rPr>
        <w:t>Tabela 1 - Relação entre objetivos, evidências e limitações da MedConnect</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shd w:fill="D9E8E5"/>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b/>
                <w:i w:val="0"/>
                <w:color w:val="000000"/>
                <w:sz w:val="18"/>
              </w:rPr>
              <w:t>Objetivo específico</w:t>
            </w:r>
          </w:p>
        </w:tc>
        <w:tc>
          <w:tcPr>
            <w:tcW w:type="dxa" w:w="3024"/>
            <w:vAlign w:val="center"/>
            <w:shd w:fill="D9E8E5"/>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b/>
                <w:i w:val="0"/>
                <w:color w:val="000000"/>
                <w:sz w:val="18"/>
              </w:rPr>
              <w:t>Evidência verificada</w:t>
            </w:r>
          </w:p>
        </w:tc>
        <w:tc>
          <w:tcPr>
            <w:tcW w:type="dxa" w:w="3024"/>
            <w:vAlign w:val="center"/>
            <w:shd w:fill="D9E8E5"/>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center"/>
            </w:pPr>
            <w:r/>
            <w:r>
              <w:rPr>
                <w:rFonts w:ascii="Arial" w:hAnsi="Arial"/>
                <w:b/>
                <w:i w:val="0"/>
                <w:color w:val="000000"/>
                <w:sz w:val="18"/>
              </w:rPr>
              <w:t>Limitação atual</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Apresentar profissionais e especialidades</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Catálogo remoto com dados fictícios e estados de carregamento, ausência e erro.</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Catálogo reduzido, sem agenda, avaliações ou credenciais reais.</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Organizar o agendamento</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Reserva persistida entre paciente, profissional e horário; proteção contra duplicidade da vaga.</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Não há cancelamento, reagendamento ou disponibilidade real.</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Acompanhar a espera</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Fila criada a partir da reserva e visualizada somente pela conta vinculada.</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Não há atualização em tempo real nem estimativa de espera.</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Permitir comunicação e arquivos</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Chat privado, link HTTPS externo, anexos privados e download autorizado.</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Não há vídeo hospedado, prontuário ou uso de dados reais.</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Disponibilizar registros e responsividade</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Documentos da consulta aparecem em Meus registros; página de acesso verificada em 390 x 844 px.</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0" w:line="240" w:lineRule="auto"/>
              <w:jc w:val="left"/>
            </w:pPr>
            <w:r/>
            <w:r>
              <w:rPr>
                <w:rFonts w:ascii="Arial" w:hAnsi="Arial"/>
                <w:b w:val="0"/>
                <w:i w:val="0"/>
                <w:color w:val="000000"/>
                <w:sz w:val="18"/>
              </w:rPr>
              <w:t>O histórico permanece ilustrativo e não houve estudo de usabilidade com participantes.</w:t>
            </w:r>
          </w:p>
        </w:tc>
      </w:tr>
    </w:tbl>
    <w:p>
      <w:pPr>
        <w:spacing w:before="60" w:after="120" w:line="240" w:lineRule="auto"/>
        <w:jc w:val="left"/>
      </w:pPr>
      <w:r>
        <w:rPr>
          <w:rFonts w:ascii="Arial" w:hAnsi="Arial"/>
          <w:b w:val="0"/>
          <w:i w:val="0"/>
          <w:color w:val="000000"/>
          <w:sz w:val="22"/>
        </w:rPr>
        <w:t>Fonte: Elaboração própria.</w:t>
      </w:r>
    </w:p>
    <w:p>
      <w:pPr>
        <w:spacing w:before="240" w:after="0" w:line="360" w:lineRule="auto"/>
        <w:jc w:val="left"/>
      </w:pPr>
      <w:r>
        <w:rPr>
          <w:rFonts w:ascii="Arial" w:hAnsi="Arial"/>
          <w:b/>
          <w:i w:val="0"/>
          <w:color w:val="000000"/>
          <w:sz w:val="24"/>
        </w:rPr>
        <w:t>CONSIDERAÇÕES FINAIS</w:t>
      </w:r>
    </w:p>
    <w:p>
      <w:pPr>
        <w:spacing w:before="0" w:after="0" w:line="360" w:lineRule="auto"/>
        <w:jc w:val="both"/>
      </w:pPr>
      <w:r>
        <w:rPr>
          <w:rFonts w:ascii="Arial" w:hAnsi="Arial"/>
          <w:b w:val="0"/>
          <w:i w:val="0"/>
          <w:color w:val="000000"/>
          <w:sz w:val="24"/>
        </w:rPr>
        <w:t>O desenvolvimento da MedConnect demonstrou que uma plataforma web responsiva pode organizar etapas remotas da jornada do paciente, como descoberta de profissionais, seleção de horário, reserva persistida, acompanhamento de fila, comunicação privada e acesso a arquivos fictícios associados à consulta. A resposta ao problema de pesquisa é parcial e compatível com o escopo acadêmico adotado.</w:t>
      </w:r>
    </w:p>
    <w:p>
      <w:pPr>
        <w:spacing w:before="0" w:after="0" w:line="360" w:lineRule="auto"/>
        <w:jc w:val="both"/>
      </w:pPr>
      <w:r>
        <w:rPr>
          <w:rFonts w:ascii="Arial" w:hAnsi="Arial"/>
          <w:b w:val="0"/>
          <w:i w:val="0"/>
          <w:color w:val="000000"/>
          <w:sz w:val="24"/>
        </w:rPr>
        <w:t>Os resultados verificados incluem autenticação inicial, banco de dados, prevenção básica de conflitos de agenda, fila vinculada, chat privado, link externo de vídeo, armazenamento privado de anexos e visualização de documentos em Meus registros. A publicação na Vercel viabilizou o acesso externo ao sistema e a verificação inicial de responsividade da página de acesso.</w:t>
      </w:r>
    </w:p>
    <w:p>
      <w:pPr>
        <w:spacing w:before="0" w:after="0" w:line="360" w:lineRule="auto"/>
        <w:jc w:val="both"/>
      </w:pPr>
      <w:r>
        <w:rPr>
          <w:rFonts w:ascii="Arial" w:hAnsi="Arial"/>
          <w:b w:val="0"/>
          <w:i w:val="0"/>
          <w:color w:val="000000"/>
          <w:sz w:val="24"/>
        </w:rPr>
        <w:t>As limitações incluem ausência de videochamada hospedada, prontuário, dados reais, atualização em tempo real, testes de desempenho, validação de segurança abrangente e estudo de usabilidade com participantes. Trabalhos futuros podem ampliar a avaliação da interface e dos controles de acesso, sempre com dados fictícios e registro acadêmico das evidências obtidas.</w:t>
      </w:r>
    </w:p>
    <w:p>
      <w:pPr>
        <w:spacing w:before="240" w:after="0" w:line="360" w:lineRule="auto"/>
        <w:jc w:val="left"/>
      </w:pPr>
      <w:r>
        <w:rPr>
          <w:rFonts w:ascii="Arial" w:hAnsi="Arial"/>
          <w:b/>
          <w:i w:val="0"/>
          <w:color w:val="000000"/>
          <w:sz w:val="24"/>
        </w:rPr>
        <w:t>REFERÊNCIAS</w:t>
      </w:r>
    </w:p>
    <w:p>
      <w:pPr>
        <w:spacing w:before="0" w:after="0" w:line="240" w:lineRule="auto"/>
        <w:jc w:val="both"/>
      </w:pPr>
      <w:r>
        <w:rPr>
          <w:rFonts w:ascii="Arial" w:hAnsi="Arial"/>
          <w:b w:val="0"/>
          <w:i w:val="0"/>
          <w:color w:val="000000"/>
          <w:sz w:val="24"/>
        </w:rPr>
        <w:t>BRASIL. Lei nº 13.709, de 14 de agosto de 2018. Lei Geral de Proteção de Dados Pessoais (LGPD). Brasília, DF: Presidência da República, 2018. Disponível em: https://www.planalto.gov.br/ccivil_03/_ato2015-2018/2018/lei/l13709compilado.htm. Acesso em: 18 ago. 2026.</w:t>
      </w:r>
    </w:p>
    <w:p>
      <w:pPr>
        <w:spacing w:before="0" w:after="0" w:line="240" w:lineRule="auto"/>
        <w:jc w:val="both"/>
      </w:pPr>
      <w:r>
        <w:rPr>
          <w:rFonts w:ascii="Arial" w:hAnsi="Arial"/>
          <w:b w:val="0"/>
          <w:i w:val="0"/>
          <w:color w:val="000000"/>
          <w:sz w:val="24"/>
        </w:rPr>
        <w:t>BRASIL. Lei nº 14.510, de 27 de dezembro de 2022. Altera a Lei nº 8.080, de 19 de setembro de 1990, para autorizar e disciplinar a prática da telessaúde em todo o território nacional. Brasília, DF: Presidência da República, 2022a. Disponível em: https://www.planalto.gov.br/ccivil_03/_ato2019-2022/2022/lei/l14510.htm. Acesso em: 18 ago. 2026.</w:t>
      </w:r>
    </w:p>
    <w:p>
      <w:pPr>
        <w:spacing w:before="0" w:after="0" w:line="240" w:lineRule="auto"/>
        <w:jc w:val="both"/>
      </w:pPr>
      <w:r>
        <w:rPr>
          <w:rFonts w:ascii="Arial" w:hAnsi="Arial"/>
          <w:b w:val="0"/>
          <w:i w:val="0"/>
          <w:color w:val="000000"/>
          <w:sz w:val="24"/>
        </w:rPr>
        <w:t>CONSELHO FEDERAL DE MEDICINA. Resolução CFM nº 2.314, de 20 de abril de 2022. Define e regulamenta a telemedicina, como forma de serviços médicos mediados por tecnologias de comunicação. Brasília, DF: CFM, 2022. Disponível em: https://portal.cfm.org.br/noticias/apos-amplo-debate-cfm-regulamenta-pratica-da-telemedicina-no-brasil. Acesso em: 18 ago. 2026.</w:t>
      </w:r>
    </w:p>
    <w:p>
      <w:pPr>
        <w:spacing w:before="0" w:after="0" w:line="240" w:lineRule="auto"/>
        <w:jc w:val="both"/>
      </w:pPr>
      <w:r>
        <w:rPr>
          <w:rFonts w:ascii="Arial" w:hAnsi="Arial"/>
          <w:b w:val="0"/>
          <w:i w:val="0"/>
          <w:color w:val="000000"/>
          <w:sz w:val="24"/>
        </w:rPr>
        <w:t>FRAMER. Motion for React documentation. [S. l.], [s. d.]. Disponível em: https://motion.dev/docs/react. Acesso em: 18 ago. 2026.</w:t>
      </w:r>
    </w:p>
    <w:p>
      <w:pPr>
        <w:spacing w:before="0" w:after="0" w:line="240" w:lineRule="auto"/>
        <w:jc w:val="both"/>
      </w:pPr>
      <w:r>
        <w:rPr>
          <w:rFonts w:ascii="Arial" w:hAnsi="Arial"/>
          <w:b w:val="0"/>
          <w:i w:val="0"/>
          <w:color w:val="000000"/>
          <w:sz w:val="24"/>
        </w:rPr>
        <w:t>LUCIDE. Lucide React documentation. [S. l.], [s. d.]. Disponível em: https://lucide.dev/guide/packages/lucide-react. Acesso em: 18 ago. 2026.</w:t>
      </w:r>
    </w:p>
    <w:p>
      <w:pPr>
        <w:spacing w:before="0" w:after="0" w:line="240" w:lineRule="auto"/>
        <w:jc w:val="both"/>
      </w:pPr>
      <w:r>
        <w:rPr>
          <w:rFonts w:ascii="Arial" w:hAnsi="Arial"/>
          <w:b w:val="0"/>
          <w:i w:val="0"/>
          <w:color w:val="000000"/>
          <w:sz w:val="24"/>
        </w:rPr>
        <w:t>META OPEN SOURCE. React documentation. [S. l.], [s. d.]. Disponível em: https://react.dev/. Acesso em: 18 ago. 2026.</w:t>
      </w:r>
    </w:p>
    <w:p>
      <w:pPr>
        <w:spacing w:before="0" w:after="0" w:line="240" w:lineRule="auto"/>
        <w:jc w:val="both"/>
      </w:pPr>
      <w:r>
        <w:rPr>
          <w:rFonts w:ascii="Arial" w:hAnsi="Arial"/>
          <w:b w:val="0"/>
          <w:i w:val="0"/>
          <w:color w:val="000000"/>
          <w:sz w:val="24"/>
        </w:rPr>
        <w:t>NORMAN, Donald A. The design of everyday things. Revised and expanded edition. New York: Basic Books, 2013.</w:t>
      </w:r>
    </w:p>
    <w:p>
      <w:pPr>
        <w:spacing w:before="0" w:after="0" w:line="240" w:lineRule="auto"/>
        <w:jc w:val="both"/>
      </w:pPr>
      <w:r>
        <w:rPr>
          <w:rFonts w:ascii="Arial" w:hAnsi="Arial"/>
          <w:b w:val="0"/>
          <w:i w:val="0"/>
          <w:color w:val="000000"/>
          <w:sz w:val="24"/>
        </w:rPr>
        <w:t>SUPABASE. JavaScript: Introduction. [S. l.], [s. d.]. Disponível em: https://supabase.com/docs/reference/javascript/introduction. Acesso em: 24 set. 2026.</w:t>
      </w:r>
    </w:p>
    <w:p>
      <w:pPr>
        <w:spacing w:before="0" w:after="0" w:line="240" w:lineRule="auto"/>
        <w:jc w:val="both"/>
      </w:pPr>
      <w:r>
        <w:rPr>
          <w:rFonts w:ascii="Arial" w:hAnsi="Arial"/>
          <w:b w:val="0"/>
          <w:i w:val="0"/>
          <w:color w:val="000000"/>
          <w:sz w:val="24"/>
        </w:rPr>
        <w:t>SUPABASE. Password-based Auth. [S. l.], [s. d.]. Disponível em: https://supabase.com/docs/guides/auth/passwords. Acesso em: 24 set. 2026.</w:t>
      </w:r>
    </w:p>
    <w:p>
      <w:pPr>
        <w:spacing w:before="0" w:after="0" w:line="240" w:lineRule="auto"/>
        <w:jc w:val="both"/>
      </w:pPr>
      <w:r>
        <w:rPr>
          <w:rFonts w:ascii="Arial" w:hAnsi="Arial"/>
          <w:b w:val="0"/>
          <w:i w:val="0"/>
          <w:color w:val="000000"/>
          <w:sz w:val="24"/>
        </w:rPr>
        <w:t>SUPABASE. Row Level Security. [S. l.], [s. d.]. Disponível em: https://supabase.com/docs/guides/database/postgres/row-level-security. Acesso em: 25 set. 2026.</w:t>
      </w:r>
    </w:p>
    <w:p>
      <w:pPr>
        <w:spacing w:before="0" w:after="0" w:line="240" w:lineRule="auto"/>
        <w:jc w:val="both"/>
      </w:pPr>
      <w:r>
        <w:rPr>
          <w:rFonts w:ascii="Arial" w:hAnsi="Arial"/>
          <w:b w:val="0"/>
          <w:i w:val="0"/>
          <w:color w:val="000000"/>
          <w:sz w:val="24"/>
        </w:rPr>
        <w:t>SUPABASE. Storage Access Control. [S. l.], [s. d.]. Disponível em: https://supabase.com/docs/guides/storage/security/access-control. Acesso em: 25 set. 2026.</w:t>
      </w:r>
    </w:p>
    <w:p>
      <w:pPr>
        <w:spacing w:before="0" w:after="0" w:line="240" w:lineRule="auto"/>
        <w:jc w:val="both"/>
      </w:pPr>
      <w:r>
        <w:rPr>
          <w:rFonts w:ascii="Arial" w:hAnsi="Arial"/>
          <w:b w:val="0"/>
          <w:i w:val="0"/>
          <w:color w:val="000000"/>
          <w:sz w:val="24"/>
        </w:rPr>
        <w:t>TAILWIND LABS. Tailwind CSS documentation. [S. l.], [s. d.]. Disponível em: https://tailwindcss.com/docs. Acesso em: 18 ago. 2026.</w:t>
      </w:r>
    </w:p>
    <w:p>
      <w:pPr>
        <w:spacing w:before="0" w:after="0" w:line="240" w:lineRule="auto"/>
        <w:jc w:val="both"/>
      </w:pPr>
      <w:r>
        <w:rPr>
          <w:rFonts w:ascii="Arial" w:hAnsi="Arial"/>
          <w:b w:val="0"/>
          <w:i w:val="0"/>
          <w:color w:val="000000"/>
          <w:sz w:val="24"/>
        </w:rPr>
        <w:t>VERCEL. Vite on Vercel. [S. l.], [s. d.]. Disponível em: https://vercel.com/docs/frameworks/frontend/vite. Acesso em: 25 set. 2026.</w:t>
      </w:r>
    </w:p>
    <w:p>
      <w:pPr>
        <w:spacing w:before="0" w:after="0" w:line="240" w:lineRule="auto"/>
        <w:jc w:val="both"/>
      </w:pPr>
      <w:r>
        <w:rPr>
          <w:rFonts w:ascii="Arial" w:hAnsi="Arial"/>
          <w:b w:val="0"/>
          <w:i w:val="0"/>
          <w:color w:val="000000"/>
          <w:sz w:val="24"/>
        </w:rPr>
        <w:t>WORLD HEALTH ORGANIZATION. Global strategy on digital health 2020-2025. Geneva: WHO, 2021. Disponível em: https://www.who.int/publications/i/item/9789240020924. Acesso em: 18 ago. 2026.</w:t>
      </w:r>
    </w:p>
    <w:sectPr w:rsidR="00A16544" w:rsidSect="00B2077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779"/>
    <w:rsid w:val="000915C4"/>
    <w:rsid w:val="000A306E"/>
    <w:rsid w:val="000B687D"/>
    <w:rsid w:val="000E0DFD"/>
    <w:rsid w:val="00167960"/>
    <w:rsid w:val="001E5013"/>
    <w:rsid w:val="002550B4"/>
    <w:rsid w:val="00375DED"/>
    <w:rsid w:val="00445995"/>
    <w:rsid w:val="00461772"/>
    <w:rsid w:val="00462B69"/>
    <w:rsid w:val="005B49B0"/>
    <w:rsid w:val="005E1748"/>
    <w:rsid w:val="00635332"/>
    <w:rsid w:val="00660176"/>
    <w:rsid w:val="00677D57"/>
    <w:rsid w:val="006D1014"/>
    <w:rsid w:val="006D218B"/>
    <w:rsid w:val="006E212A"/>
    <w:rsid w:val="006E4224"/>
    <w:rsid w:val="00726D5B"/>
    <w:rsid w:val="008C6D4A"/>
    <w:rsid w:val="009A0E34"/>
    <w:rsid w:val="00A16544"/>
    <w:rsid w:val="00A83AB4"/>
    <w:rsid w:val="00A8551D"/>
    <w:rsid w:val="00A9257B"/>
    <w:rsid w:val="00B20779"/>
    <w:rsid w:val="00B3485C"/>
    <w:rsid w:val="00B84288"/>
    <w:rsid w:val="00C04900"/>
    <w:rsid w:val="00CA611F"/>
    <w:rsid w:val="00D03A30"/>
    <w:rsid w:val="00D51D6E"/>
    <w:rsid w:val="00E961BD"/>
    <w:rsid w:val="00EA0D9A"/>
    <w:rsid w:val="00EA2BE1"/>
    <w:rsid w:val="00F52A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C45F"/>
  <w15:chartTrackingRefBased/>
  <w15:docId w15:val="{576F2D08-AC0E-48D6-BA1A-83FD6C26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rPr>
  </w:style>
  <w:style w:type="paragraph" w:styleId="Ttulo1">
    <w:name w:val="heading 1"/>
    <w:basedOn w:val="Normal"/>
    <w:next w:val="Normal"/>
    <w:link w:val="Ttulo1Char"/>
    <w:uiPriority w:val="9"/>
    <w:qFormat/>
    <w:rsid w:val="00CA611F"/>
    <w:pPr>
      <w:keepNext/>
      <w:keepLines/>
      <w:spacing w:before="240" w:after="0"/>
      <w:outlineLvl w:val="0"/>
    </w:pPr>
    <w:rPr>
      <w:rFonts w:asciiTheme="majorHAnsi" w:eastAsiaTheme="majorEastAsia" w:hAnsiTheme="majorHAnsi" w:cstheme="majorBidi"/>
      <w:color w:val="2E74B5" w:themeColor="accent1" w:themeShade="BF"/>
      <w:sz w:val="32"/>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A611F"/>
    <w:rPr>
      <w:color w:val="0563C1" w:themeColor="hyperlink"/>
      <w:u w:val="single"/>
    </w:rPr>
  </w:style>
  <w:style w:type="character" w:customStyle="1" w:styleId="Ttulo1Char">
    <w:name w:val="Título 1 Char"/>
    <w:basedOn w:val="Fontepargpadro"/>
    <w:link w:val="Ttulo1"/>
    <w:uiPriority w:val="9"/>
    <w:rsid w:val="00CA611F"/>
    <w:rPr>
      <w:rFonts w:asciiTheme="majorHAnsi" w:eastAsiaTheme="majorEastAsia" w:hAnsiTheme="majorHAnsi" w:cstheme="majorBidi"/>
      <w:color w:val="2E74B5" w:themeColor="accent1" w:themeShade="BF"/>
      <w:sz w:val="32"/>
      <w:szCs w:val="32"/>
      <w:lang w:eastAsia="pt-BR"/>
    </w:rPr>
  </w:style>
  <w:style w:type="paragraph" w:styleId="Bibliografia">
    <w:name w:val="Bibliography"/>
    <w:basedOn w:val="Normal"/>
    <w:next w:val="Normal"/>
    <w:uiPriority w:val="37"/>
    <w:unhideWhenUsed/>
    <w:rsid w:val="00CA6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481513">
      <w:bodyDiv w:val="1"/>
      <w:marLeft w:val="0"/>
      <w:marRight w:val="0"/>
      <w:marTop w:val="0"/>
      <w:marBottom w:val="0"/>
      <w:divBdr>
        <w:top w:val="none" w:sz="0" w:space="0" w:color="auto"/>
        <w:left w:val="none" w:sz="0" w:space="0" w:color="auto"/>
        <w:bottom w:val="none" w:sz="0" w:space="0" w:color="auto"/>
        <w:right w:val="none" w:sz="0" w:space="0" w:color="auto"/>
      </w:divBdr>
    </w:div>
    <w:div w:id="74402614">
      <w:bodyDiv w:val="1"/>
      <w:marLeft w:val="0"/>
      <w:marRight w:val="0"/>
      <w:marTop w:val="0"/>
      <w:marBottom w:val="0"/>
      <w:divBdr>
        <w:top w:val="none" w:sz="0" w:space="0" w:color="auto"/>
        <w:left w:val="none" w:sz="0" w:space="0" w:color="auto"/>
        <w:bottom w:val="none" w:sz="0" w:space="0" w:color="auto"/>
        <w:right w:val="none" w:sz="0" w:space="0" w:color="auto"/>
      </w:divBdr>
    </w:div>
    <w:div w:id="271018889">
      <w:bodyDiv w:val="1"/>
      <w:marLeft w:val="0"/>
      <w:marRight w:val="0"/>
      <w:marTop w:val="0"/>
      <w:marBottom w:val="0"/>
      <w:divBdr>
        <w:top w:val="none" w:sz="0" w:space="0" w:color="auto"/>
        <w:left w:val="none" w:sz="0" w:space="0" w:color="auto"/>
        <w:bottom w:val="none" w:sz="0" w:space="0" w:color="auto"/>
        <w:right w:val="none" w:sz="0" w:space="0" w:color="auto"/>
      </w:divBdr>
    </w:div>
    <w:div w:id="291444934">
      <w:bodyDiv w:val="1"/>
      <w:marLeft w:val="0"/>
      <w:marRight w:val="0"/>
      <w:marTop w:val="0"/>
      <w:marBottom w:val="0"/>
      <w:divBdr>
        <w:top w:val="none" w:sz="0" w:space="0" w:color="auto"/>
        <w:left w:val="none" w:sz="0" w:space="0" w:color="auto"/>
        <w:bottom w:val="none" w:sz="0" w:space="0" w:color="auto"/>
        <w:right w:val="none" w:sz="0" w:space="0" w:color="auto"/>
      </w:divBdr>
    </w:div>
    <w:div w:id="380983112">
      <w:bodyDiv w:val="1"/>
      <w:marLeft w:val="0"/>
      <w:marRight w:val="0"/>
      <w:marTop w:val="0"/>
      <w:marBottom w:val="0"/>
      <w:divBdr>
        <w:top w:val="none" w:sz="0" w:space="0" w:color="auto"/>
        <w:left w:val="none" w:sz="0" w:space="0" w:color="auto"/>
        <w:bottom w:val="none" w:sz="0" w:space="0" w:color="auto"/>
        <w:right w:val="none" w:sz="0" w:space="0" w:color="auto"/>
      </w:divBdr>
    </w:div>
    <w:div w:id="635524542">
      <w:bodyDiv w:val="1"/>
      <w:marLeft w:val="0"/>
      <w:marRight w:val="0"/>
      <w:marTop w:val="0"/>
      <w:marBottom w:val="0"/>
      <w:divBdr>
        <w:top w:val="none" w:sz="0" w:space="0" w:color="auto"/>
        <w:left w:val="none" w:sz="0" w:space="0" w:color="auto"/>
        <w:bottom w:val="none" w:sz="0" w:space="0" w:color="auto"/>
        <w:right w:val="none" w:sz="0" w:space="0" w:color="auto"/>
      </w:divBdr>
    </w:div>
    <w:div w:id="1108551569">
      <w:bodyDiv w:val="1"/>
      <w:marLeft w:val="0"/>
      <w:marRight w:val="0"/>
      <w:marTop w:val="0"/>
      <w:marBottom w:val="0"/>
      <w:divBdr>
        <w:top w:val="none" w:sz="0" w:space="0" w:color="auto"/>
        <w:left w:val="none" w:sz="0" w:space="0" w:color="auto"/>
        <w:bottom w:val="none" w:sz="0" w:space="0" w:color="auto"/>
        <w:right w:val="none" w:sz="0" w:space="0" w:color="auto"/>
      </w:divBdr>
    </w:div>
    <w:div w:id="1272007810">
      <w:bodyDiv w:val="1"/>
      <w:marLeft w:val="0"/>
      <w:marRight w:val="0"/>
      <w:marTop w:val="0"/>
      <w:marBottom w:val="0"/>
      <w:divBdr>
        <w:top w:val="none" w:sz="0" w:space="0" w:color="auto"/>
        <w:left w:val="none" w:sz="0" w:space="0" w:color="auto"/>
        <w:bottom w:val="none" w:sz="0" w:space="0" w:color="auto"/>
        <w:right w:val="none" w:sz="0" w:space="0" w:color="auto"/>
      </w:divBdr>
    </w:div>
    <w:div w:id="1308969881">
      <w:bodyDiv w:val="1"/>
      <w:marLeft w:val="0"/>
      <w:marRight w:val="0"/>
      <w:marTop w:val="0"/>
      <w:marBottom w:val="0"/>
      <w:divBdr>
        <w:top w:val="none" w:sz="0" w:space="0" w:color="auto"/>
        <w:left w:val="none" w:sz="0" w:space="0" w:color="auto"/>
        <w:bottom w:val="none" w:sz="0" w:space="0" w:color="auto"/>
        <w:right w:val="none" w:sz="0" w:space="0" w:color="auto"/>
      </w:divBdr>
    </w:div>
    <w:div w:id="1417705973">
      <w:bodyDiv w:val="1"/>
      <w:marLeft w:val="0"/>
      <w:marRight w:val="0"/>
      <w:marTop w:val="0"/>
      <w:marBottom w:val="0"/>
      <w:divBdr>
        <w:top w:val="none" w:sz="0" w:space="0" w:color="auto"/>
        <w:left w:val="none" w:sz="0" w:space="0" w:color="auto"/>
        <w:bottom w:val="none" w:sz="0" w:space="0" w:color="auto"/>
        <w:right w:val="none" w:sz="0" w:space="0" w:color="auto"/>
      </w:divBdr>
    </w:div>
    <w:div w:id="1434091189">
      <w:bodyDiv w:val="1"/>
      <w:marLeft w:val="0"/>
      <w:marRight w:val="0"/>
      <w:marTop w:val="0"/>
      <w:marBottom w:val="0"/>
      <w:divBdr>
        <w:top w:val="none" w:sz="0" w:space="0" w:color="auto"/>
        <w:left w:val="none" w:sz="0" w:space="0" w:color="auto"/>
        <w:bottom w:val="none" w:sz="0" w:space="0" w:color="auto"/>
        <w:right w:val="none" w:sz="0" w:space="0" w:color="auto"/>
      </w:divBdr>
    </w:div>
    <w:div w:id="1460803809">
      <w:bodyDiv w:val="1"/>
      <w:marLeft w:val="0"/>
      <w:marRight w:val="0"/>
      <w:marTop w:val="0"/>
      <w:marBottom w:val="0"/>
      <w:divBdr>
        <w:top w:val="none" w:sz="0" w:space="0" w:color="auto"/>
        <w:left w:val="none" w:sz="0" w:space="0" w:color="auto"/>
        <w:bottom w:val="none" w:sz="0" w:space="0" w:color="auto"/>
        <w:right w:val="none" w:sz="0" w:space="0" w:color="auto"/>
      </w:divBdr>
    </w:div>
    <w:div w:id="176534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pieChart>
        <c:varyColors val="1"/>
        <c:ser>
          <c:idx val="0"/>
          <c:order val="0"/>
          <c:tx>
            <c:strRef>
              <c:f>Plan1!$B$1</c:f>
              <c:strCache>
                <c:ptCount val="1"/>
                <c:pt idx="0">
                  <c:v>Estados Brasileiros que possuem Leis de Resíduos Sólidos</c:v>
                </c:pt>
              </c:strCache>
            </c:strRef>
          </c:tx>
          <c:dLbls>
            <c:spPr>
              <a:noFill/>
              <a:ln>
                <a:noFill/>
              </a:ln>
              <a:effectLst/>
            </c:spPr>
            <c:showLegendKey val="0"/>
            <c:showVal val="0"/>
            <c:showCatName val="0"/>
            <c:showSerName val="0"/>
            <c:showPercent val="1"/>
            <c:showBubbleSize val="0"/>
            <c:showLeaderLines val="1"/>
            <c:extLst>
              <c:ext xmlns:c15="http://schemas.microsoft.com/office/drawing/2012/chart" uri="{CE6537A1-D6FC-4f65-9D91-7224C49458BB}"/>
            </c:extLst>
          </c:dLbls>
          <c:cat>
            <c:strRef>
              <c:f>Plan1!$A$2:$A$3</c:f>
              <c:strCache>
                <c:ptCount val="2"/>
                <c:pt idx="0">
                  <c:v>Estados que possuem</c:v>
                </c:pt>
                <c:pt idx="1">
                  <c:v>Estados que não possuem</c:v>
                </c:pt>
              </c:strCache>
            </c:strRef>
          </c:cat>
          <c:val>
            <c:numRef>
              <c:f>Plan1!$B$2:$B$3</c:f>
              <c:numCache>
                <c:formatCode>General</c:formatCode>
                <c:ptCount val="2"/>
                <c:pt idx="0">
                  <c:v>13</c:v>
                </c:pt>
                <c:pt idx="1">
                  <c:v>14</c:v>
                </c:pt>
              </c:numCache>
            </c:numRef>
          </c:val>
          <c:extLst>
            <c:ext xmlns:c16="http://schemas.microsoft.com/office/drawing/2014/chart" uri="{C3380CC4-5D6E-409C-BE32-E72D297353CC}">
              <c16:uniqueId val="{00000000-4C61-423D-B847-CA5C0441F831}"/>
            </c:ext>
          </c:extLst>
        </c:ser>
        <c:dLbls>
          <c:showLegendKey val="0"/>
          <c:showVal val="0"/>
          <c:showCatName val="0"/>
          <c:showSerName val="0"/>
          <c:showPercent val="1"/>
          <c:showBubbleSize val="0"/>
          <c:showLeaderLines val="1"/>
        </c:dLbls>
        <c:firstSliceAng val="0"/>
      </c:pieChart>
    </c:plotArea>
    <c:legend>
      <c:legendPos val="r"/>
      <c:overlay val="0"/>
    </c:legend>
    <c:plotVisOnly val="1"/>
    <c:dispBlanksAs val="gap"/>
    <c:showDLblsOverMax val="0"/>
  </c:chart>
  <c:spPr>
    <a:ln>
      <a:solidFill>
        <a:schemeClr val="tx1"/>
      </a:solidFill>
    </a:ln>
  </c:spPr>
  <c:externalData r:id="rId2">
    <c:autoUpdate val="0"/>
  </c:externalData>
</c:chartSpac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b:Source>
    <b:Tag>And13</b:Tag>
    <b:SourceType>Report</b:SourceType>
    <b:Guid>{12540ACD-8DF8-4CEB-8EC7-66AA83E8D9B4}</b:Guid>
    <b:Author>
      <b:Author>
        <b:NameList>
          <b:Person>
            <b:Last>Rodrigues</b:Last>
            <b:First>André</b:First>
            <b:Middle>Ricardo Prazeres</b:Middle>
          </b:Person>
        </b:NameList>
      </b:Author>
    </b:Author>
    <b:Title>A mobilidade dos pedestres e a influência da configuração da rede de caminhos</b:Title>
    <b:Year>2013</b:Year>
    <b:Institution>Dissertação (Mestrado em Engenharia de Transporte), COPPE</b:Institution>
    <b:City>Universidade Federal do Rio de Janeiro, Rio de Janeiro</b:City>
    <b:Pages>146</b:Pages>
    <b:RefOrder>1</b:RefOrder>
  </b:Source>
</b:Sources>
</file>

<file path=customXml/itemProps1.xml><?xml version="1.0" encoding="utf-8"?>
<ds:datastoreItem xmlns:ds="http://schemas.openxmlformats.org/officeDocument/2006/customXml" ds:itemID="{C5462EAB-F446-4E9E-B801-5A25DFC08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6</Pages>
  <Words>1741</Words>
  <Characters>9406</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Rodrigues</dc:creator>
  <cp:keywords/>
  <dc:description/>
  <cp:lastModifiedBy>ANDRE RODRIGUES</cp:lastModifiedBy>
  <cp:revision>37</cp:revision>
  <dcterms:created xsi:type="dcterms:W3CDTF">2016-09-02T23:00:00Z</dcterms:created>
  <dcterms:modified xsi:type="dcterms:W3CDTF">2020-09-18T22:07:00Z</dcterms:modified>
</cp:coreProperties>
</file>