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60"/>
      </w:pPr>
      <w:r>
        <w:rPr>
          <w:rFonts w:ascii="Times New Roman" w:hAnsi="Times New Roman"/>
          <w:b/>
          <w:color w:val="17365D"/>
          <w:sz w:val="40"/>
        </w:rPr>
        <w:t>Hardware-Competitive Quantum Reservoir Computing for SPY Volatility</w:t>
      </w:r>
    </w:p>
    <w:p>
      <w:pPr>
        <w:spacing w:after="100"/>
      </w:pPr>
      <w:r>
        <w:rPr>
          <w:rFonts w:ascii="Times New Roman" w:hAnsi="Times New Roman"/>
          <w:i/>
          <w:color w:val="667085"/>
          <w:sz w:val="25"/>
        </w:rPr>
        <w:t>A native-hardware hybrid across IQM Emerald, QuEra Aquila, and cloud Ising machines</w:t>
      </w:r>
    </w:p>
    <w:p>
      <w:pPr>
        <w:spacing w:after="160"/>
      </w:pPr>
      <w:r>
        <w:rPr>
          <w:rFonts w:ascii="Times New Roman" w:hAnsi="Times New Roman"/>
          <w:b/>
          <w:color w:val="2F75B5"/>
          <w:sz w:val="21"/>
        </w:rPr>
        <w:t>Track A: Financial Volatility Prediction | Team Quanties</w:t>
      </w:r>
    </w:p>
    <w:p>
      <w:pPr>
        <w:pStyle w:val="Heading1"/>
        <w:keepNext/>
        <w:spacing w:before="40"/>
      </w:pPr>
      <w:r>
        <w:rPr>
          <w:rFonts w:ascii="Times New Roman" w:hAnsi="Times New Roman"/>
          <w:b/>
          <w:color w:val="17365D"/>
          <w:sz w:val="32"/>
        </w:rPr>
        <w:t>Abstract</w:t>
      </w:r>
    </w:p>
    <w:p>
      <w:pPr>
        <w:spacing w:before="0" w:after="80" w:line="240" w:lineRule="auto"/>
        <w:jc w:val="left"/>
      </w:pPr>
      <w:r>
        <w:rPr>
          <w:rFonts w:ascii="Times New Roman" w:hAnsi="Times New Roman"/>
          <w:color w:val="000000"/>
          <w:sz w:val="22"/>
        </w:rPr>
        <w:t>We forecast next-day annualized 21-day realized volatility of SPY from public daily OHLCV data (2010-2024). The classical prior is GARCH(1,1); a fixed quantum reservoir learns only a regularized correction to the GARCH log-volatility forecast. This decomposition makes zero correction exactly equal to GARCH and gives the quantum component a stringent, auditable role: extract nonlinear residual structure without replacing a strong econometric model.</w:t>
      </w:r>
    </w:p>
    <w:p>
      <w:pPr>
        <w:spacing w:before="0" w:after="80" w:line="240" w:lineRule="auto"/>
        <w:jc w:val="left"/>
      </w:pPr>
      <w:r>
        <w:rPr>
          <w:rFonts w:ascii="Times New Roman" w:hAnsi="Times New Roman"/>
          <w:color w:val="000000"/>
          <w:sz w:val="22"/>
        </w:rPr>
        <w:t>The primary real-QPU result is a 9-qubit, native 3x3 IQM Emerald reservoir evaluated on 120 chronological days at 500 shots per circuit. Its pre-specified quantum readout-error mitigation (QREM) plus affine-transfer path gives RMSE 0.00831368 versus 0.00832112 for GARCH, a 0.0895% point improvement. The moving-block-bootstrap 95% interval for the RMSE difference is [-0.0000608, +0.0000262], so we claim hardware-level competitiveness, not statistically established quantum advantage. QLIKE is 0.016538 versus 0.016476 for GARCH, while the Mincer-Zarnowitz joint p-value is 0.166 (forecast unbiasedness is not rejected).</w:t>
      </w:r>
    </w:p>
    <w:p>
      <w:pPr>
        <w:spacing w:before="60" w:after="120" w:line="240" w:lineRule="auto"/>
        <w:ind w:left="115" w:right="115"/>
        <w:shd w:fill="EAF2F8"/>
      </w:pPr>
      <w:r>
        <w:rPr>
          <w:rFonts w:ascii="Times New Roman" w:hAnsi="Times New Roman"/>
          <w:b/>
          <w:color w:val="17365D"/>
          <w:sz w:val="22"/>
        </w:rPr>
        <w:t xml:space="preserve">Headline. </w:t>
      </w:r>
      <w:r>
        <w:rPr>
          <w:rFonts w:ascii="Times New Roman" w:hAnsi="Times New Roman"/>
          <w:color w:val="000000"/>
          <w:sz w:val="22"/>
        </w:rPr>
        <w:t>Across executed substrates, the hybrid stays within 0.43% RMSE of matched GARCH. Real Aquila also transfers from its local analog Hamiltonian simulation (AHS) within 0.029% RMSE, while a 12-qubit IQM expansion improves feature fidelity but worsens forecasting. Native topology and validation-locked regularization matter more than qubit count alone.</w:t>
      </w:r>
    </w:p>
    <w:p>
      <w:pPr>
        <w:pStyle w:val="Heading1"/>
        <w:keepNext/>
      </w:pPr>
      <w:r>
        <w:rPr>
          <w:rFonts w:ascii="Times New Roman" w:hAnsi="Times New Roman"/>
          <w:b/>
          <w:color w:val="17365D"/>
          <w:sz w:val="32"/>
        </w:rPr>
        <w:t>1. Problem framing and data</w:t>
      </w:r>
    </w:p>
    <w:p>
      <w:pPr>
        <w:spacing w:before="0" w:after="80" w:line="240" w:lineRule="auto"/>
        <w:jc w:val="left"/>
      </w:pPr>
      <w:r>
        <w:rPr>
          <w:rFonts w:ascii="Times New Roman" w:hAnsi="Times New Roman"/>
          <w:color w:val="000000"/>
          <w:sz w:val="22"/>
        </w:rPr>
        <w:t>The target is next-day realized volatility RV[t], computed as the rolling 21-day standard deviation of log returns multiplied by sqrt(252). At forecast time, 20 of the 21 squared-return terms are already known, which gives GARCH a structural advantage. Inputs are causal lags of returns, absolute returns, squared returns, and heterogeneous autoregressive realized-volatility (HAR-RV) summaries. All splits are chronological; model selection uses training-only expanding folds, never the held-out evaluation rows.</w:t>
      </w:r>
    </w:p>
    <w:p>
      <w:pPr>
        <w:spacing w:before="0" w:after="80" w:line="240" w:lineRule="auto"/>
        <w:jc w:val="left"/>
      </w:pPr>
      <w:r>
        <w:rPr>
          <w:rFonts w:ascii="Times New Roman" w:hAnsi="Times New Roman"/>
          <w:color w:val="000000"/>
          <w:sz w:val="22"/>
        </w:rPr>
        <w:t>We report RMSE, volatility-specific quasi-likelihood (QLIKE) loss, and Mincer-Zarnowitz forecast calibration. Classical comparators include Persistence, Ridge/AR, ESN-200, LSTM, and GARCH(1,1). Two evaluation views are kept separate: a 746-day full benchmark for classical and simulator evidence, and a 400-train/120-test common window for hardware-ready and real-hardware transfer experiments.</w:t>
      </w:r>
    </w:p>
    <w:p>
      <w:pPr>
        <w:pStyle w:val="Heading1"/>
        <w:keepNext/>
        <w:spacing w:before="200"/>
      </w:pPr>
      <w:r>
        <w:rPr>
          <w:rFonts w:ascii="Times New Roman" w:hAnsi="Times New Roman"/>
          <w:b/>
          <w:color w:val="17365D"/>
          <w:sz w:val="32"/>
        </w:rPr>
        <w:t>2. Hybrid QRC architecture</w:t>
      </w:r>
    </w:p>
    <w:p>
      <w:pPr>
        <w:spacing w:before="0" w:after="80" w:line="240" w:lineRule="auto"/>
        <w:jc w:val="left"/>
      </w:pPr>
      <w:r>
        <w:rPr>
          <w:rFonts w:ascii="Times New Roman" w:hAnsi="Times New Roman"/>
          <w:color w:val="000000"/>
          <w:sz w:val="22"/>
        </w:rPr>
        <w:t>For each market state x[t], GARCH produces a log-volatility prior. A fixed reservoir maps x[t] to shot-estimated one- and two-body observables; only a Ridge readout is trained. The final forecast is log RV_hat[t] = log RV_GARCH[t] + c f_QRC(x[t]), where the Ridge penalty and correction strength c are locked on validation data. Quantum parameters are random-fixed or selected before the test window; no variational quantum optimization is used.</w:t>
      </w:r>
    </w:p>
    <w:p>
      <w:pPr>
        <w:spacing w:before="20" w:after="20"/>
        <w:jc w:val="center"/>
      </w:pPr>
      <w:r>
        <w:drawing>
          <wp:inline xmlns:a="http://schemas.openxmlformats.org/drawingml/2006/main" xmlns:pic="http://schemas.openxmlformats.org/drawingml/2006/picture">
            <wp:extent cx="5897880" cy="2676835"/>
            <wp:docPr id="1" name="Picture 1" descr="Hybrid volatility forecasting architecture combining a GARCH prior, fixed physical quantum reservoir, shot observables, transfer correction, and Ridge residual head." title="Hybrid volatility forecasting architecture combining a GARCH prior, fixed physic"/>
            <wp:cNvGraphicFramePr>
              <a:graphicFrameLocks noChangeAspect="1"/>
            </wp:cNvGraphicFramePr>
            <a:graphic>
              <a:graphicData uri="http://schemas.openxmlformats.org/drawingml/2006/picture">
                <pic:pic>
                  <pic:nvPicPr>
                    <pic:cNvPr id="0" name="phase3_hybrid_architecture.png"/>
                    <pic:cNvPicPr/>
                  </pic:nvPicPr>
                  <pic:blipFill>
                    <a:blip r:embed="rId11"/>
                    <a:stretch>
                      <a:fillRect/>
                    </a:stretch>
                  </pic:blipFill>
                  <pic:spPr>
                    <a:xfrm>
                      <a:off x="0" y="0"/>
                      <a:ext cx="5897880" cy="2676835"/>
                    </a:xfrm>
                    <a:prstGeom prst="rect"/>
                  </pic:spPr>
                </pic:pic>
              </a:graphicData>
            </a:graphic>
          </wp:inline>
        </w:drawing>
      </w:r>
    </w:p>
    <w:p>
      <w:pPr>
        <w:keepNext w:val="0"/>
        <w:spacing w:before="40" w:after="100" w:line="240" w:lineRule="auto"/>
        <w:jc w:val="center"/>
      </w:pPr>
      <w:r>
        <w:rPr>
          <w:rFonts w:ascii="Times New Roman" w:hAnsi="Times New Roman"/>
          <w:i/>
          <w:color w:val="667085"/>
          <w:sz w:val="21"/>
        </w:rPr>
        <w:t>Figure 1. The GARCH prior protects baseline performance; the fixed reservoir supplies nonlinear residual features. Hardware mitigation is label-free.</w:t>
      </w:r>
    </w:p>
    <w:tbl>
      <w:tblPr>
        <w:tblStyle w:val="TableGrid"/>
        <w:tblW w:type="dxa" w:w="9360"/>
        <w:jc w:val="left"/>
        <w:tblLayout w:type="fixed"/>
        <w:tblLook w:firstColumn="1" w:firstRow="1" w:lastColumn="0" w:lastRow="0" w:noHBand="0" w:noVBand="1" w:val="04A0"/>
        <w:tblInd w:w="120" w:type="dxa"/>
      </w:tblPr>
      <w:tblGrid>
        <w:gridCol w:w="1500"/>
        <w:gridCol w:w="3300"/>
        <w:gridCol w:w="1500"/>
        <w:gridCol w:w="3060"/>
      </w:tblGrid>
      <w:tr>
        <w:trPr>
          <w:tblHeader w:val="true"/>
        </w:trPr>
        <w:tc>
          <w:tcPr>
            <w:tcW w:type="dxa" w:w="15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9"/>
              </w:rPr>
              <w:t>Substrate</w:t>
            </w:r>
          </w:p>
        </w:tc>
        <w:tc>
          <w:tcPr>
            <w:tcW w:type="dxa" w:w="33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9"/>
              </w:rPr>
              <w:t>Native encoding and dynamics</w:t>
            </w:r>
          </w:p>
        </w:tc>
        <w:tc>
          <w:tcPr>
            <w:tcW w:type="dxa" w:w="15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9"/>
              </w:rPr>
              <w:t>Readout</w:t>
            </w:r>
          </w:p>
        </w:tc>
        <w:tc>
          <w:tcPr>
            <w:tcW w:type="dxa" w:w="306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9"/>
              </w:rPr>
              <w:t>Purpose in study</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IQM Emerald</w:t>
            </w:r>
          </w:p>
        </w:tc>
        <w:tc>
          <w:tcPr>
            <w:tcW w:type="dxa" w:w="33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Rz input encoding on a selected nearest-neighbor grid; fixed CZ mixing</w:t>
            </w:r>
          </w:p>
        </w:tc>
        <w:tc>
          <w:tcPr>
            <w:tcW w:type="dxa" w:w="15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45 Z/ZZ observables</w:t>
            </w:r>
          </w:p>
        </w:tc>
        <w:tc>
          <w:tcPr>
            <w:tcW w:type="dxa" w:w="3060"/>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Primary real gate-QPU forecast</w:t>
            </w:r>
          </w:p>
        </w:tc>
      </w:tr>
      <w:tr>
        <w:tc>
          <w:tcPr>
            <w:tcW w:type="dxa" w:w="150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QuEra Aquila</w:t>
            </w:r>
          </w:p>
        </w:tc>
        <w:tc>
          <w:tcPr>
            <w:tcW w:type="dxa" w:w="33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Negative local detuning on a valid irregular atom grid; Rydberg AHS evolution</w:t>
            </w:r>
          </w:p>
        </w:tc>
        <w:tc>
          <w:tcPr>
            <w:tcW w:type="dxa" w:w="15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5 Z + 10 ZZ</w:t>
            </w:r>
          </w:p>
        </w:tc>
        <w:tc>
          <w:tcPr>
            <w:tcW w:type="dxa" w:w="306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Real analog-QPU transfer test</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Amplify AE / Toshiba</w:t>
            </w:r>
          </w:p>
        </w:tc>
        <w:tc>
          <w:tcPr>
            <w:tcW w:type="dxa" w:w="33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Input fields h_i with fixed signed all-to-all J_ij; cloud optimization/sampling</w:t>
            </w:r>
          </w:p>
        </w:tc>
        <w:tc>
          <w:tcPr>
            <w:tcW w:type="dxa" w:w="15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10 Z + 45 ZZ</w:t>
            </w:r>
          </w:p>
        </w:tc>
        <w:tc>
          <w:tcPr>
            <w:tcW w:type="dxa" w:w="3060"/>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Classical signed-Ising ablation</w:t>
            </w:r>
          </w:p>
        </w:tc>
      </w:tr>
      <w:tr>
        <w:tc>
          <w:tcPr>
            <w:tcW w:type="dxa" w:w="150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TFIM simulator</w:t>
            </w:r>
          </w:p>
        </w:tc>
        <w:tc>
          <w:tcPr>
            <w:tcW w:type="dxa" w:w="33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Signed J_ij plus transverse-field evolution</w:t>
            </w:r>
          </w:p>
        </w:tc>
        <w:tc>
          <w:tcPr>
            <w:tcW w:type="dxa" w:w="15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9"/>
              </w:rPr>
              <w:t>Z/ZZ, 3-seed ensemble</w:t>
            </w:r>
          </w:p>
        </w:tc>
        <w:tc>
          <w:tcPr>
            <w:tcW w:type="dxa" w:w="306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9"/>
              </w:rPr>
              <w:t>Mechanism and advantage candidate</w:t>
            </w:r>
          </w:p>
        </w:tc>
      </w:tr>
    </w:tbl>
    <w:p>
      <w:pPr>
        <w:spacing w:after="40"/>
      </w:pPr>
    </w:p>
    <w:p>
      <w:pPr>
        <w:pStyle w:val="Heading2"/>
        <w:keepNext/>
        <w:spacing w:before="60"/>
      </w:pPr>
      <w:r>
        <w:rPr>
          <w:rFonts w:ascii="Times New Roman" w:hAnsi="Times New Roman"/>
          <w:b/>
          <w:color w:val="17365D"/>
          <w:sz w:val="26"/>
        </w:rPr>
        <w:t>Why a reservoir is appropriate</w:t>
      </w:r>
    </w:p>
    <w:p>
      <w:pPr>
        <w:spacing w:before="0" w:after="80" w:line="240" w:lineRule="auto"/>
        <w:jc w:val="left"/>
      </w:pPr>
      <w:r>
        <w:rPr>
          <w:rFonts w:ascii="Times New Roman" w:hAnsi="Times New Roman"/>
          <w:color w:val="000000"/>
          <w:sz w:val="22"/>
        </w:rPr>
        <w:t>Volatility is nonlinear, heteroskedastic, and regime switching. A fixed interacting quantum system supplies a high-dimensional nonlinear projection and fading memory, while the linear head controls variance. The residual formulation is more credible than replacing GARCH: it tests whether the reservoir adds orthogonal structure after the known 21-day decomposition is supplied. Z and ZZ observables expose local response and interaction-mediated correlations.</w:t>
      </w:r>
    </w:p>
    <w:p>
      <w:pPr>
        <w:spacing w:before="0" w:after="80" w:line="240" w:lineRule="auto"/>
        <w:jc w:val="left"/>
      </w:pPr>
      <w:r>
        <w:rPr>
          <w:rFonts w:ascii="Times New Roman" w:hAnsi="Times New Roman"/>
          <w:color w:val="000000"/>
          <w:sz w:val="22"/>
        </w:rPr>
        <w:t>Hardware transfer is deliberately conservative. IQM circuits use explicit native qubit selection and reject SWAPs; Aquila geometry satisfies the 4 micrometer per-axis separation rule and uses the device's experimental local-detuning capability. QREM and affine feature alignment use calibration information or unlabeled features only, preventing target leakage.</w:t>
      </w:r>
    </w:p>
    <w:p>
      <w:pPr>
        <w:pStyle w:val="Heading1"/>
        <w:keepNext/>
        <w:spacing w:before="200"/>
      </w:pPr>
      <w:r>
        <w:rPr>
          <w:rFonts w:ascii="Times New Roman" w:hAnsi="Times New Roman"/>
          <w:b/>
          <w:color w:val="17365D"/>
          <w:sz w:val="32"/>
        </w:rPr>
        <w:t>3. Experimental design and simulator evidence</w:t>
      </w:r>
    </w:p>
    <w:p>
      <w:pPr>
        <w:spacing w:before="0" w:after="80" w:line="240" w:lineRule="auto"/>
        <w:jc w:val="left"/>
      </w:pPr>
      <w:r>
        <w:rPr>
          <w:rFonts w:ascii="Times New Roman" w:hAnsi="Times New Roman"/>
          <w:color w:val="000000"/>
          <w:sz w:val="22"/>
        </w:rPr>
        <w:t>The full 746-day benchmark establishes task difficulty. GARCH leads the raw-task baselines (RMSE 0.007948), followed by Persistence (0.009408), ESN-200 (0.009704), and LSTM (0.010662). On the GARCH-residual target, the 10-qubit transverse-field Ising model (TFIM) reservoir reaches RMSE 0.007844 and QLIKE 0.006445 versus 0.006863 for GARCH: improvements of 1.31% and 6.09%, respectively. The identical Ridge residual ablation has RMSE 0.008051, isolating value to the nonlinear reservoir. This is a simulator result and is not presented as executed hardware advantage.</w:t>
      </w:r>
    </w:p>
    <w:p>
      <w:pPr>
        <w:spacing w:before="20" w:after="20"/>
        <w:jc w:val="center"/>
      </w:pPr>
      <w:r>
        <w:drawing>
          <wp:inline xmlns:a="http://schemas.openxmlformats.org/drawingml/2006/main" xmlns:pic="http://schemas.openxmlformats.org/drawingml/2006/picture">
            <wp:extent cx="5806440" cy="2626225"/>
            <wp:docPr id="2" name="Picture 2" descr="Two-panel result figure showing the full classical and simulated TFIM benchmark and the improvement of four hardware-ready reservoir simulations over a linear residual ablation." title="Two-panel result figure showing the full classical and simulated TFIM benchmark "/>
            <wp:cNvGraphicFramePr>
              <a:graphicFrameLocks noChangeAspect="1"/>
            </wp:cNvGraphicFramePr>
            <a:graphic>
              <a:graphicData uri="http://schemas.openxmlformats.org/drawingml/2006/picture">
                <pic:pic>
                  <pic:nvPicPr>
                    <pic:cNvPr id="0" name="phase3_simulator_evidence.png"/>
                    <pic:cNvPicPr/>
                  </pic:nvPicPr>
                  <pic:blipFill>
                    <a:blip r:embed="rId12"/>
                    <a:stretch>
                      <a:fillRect/>
                    </a:stretch>
                  </pic:blipFill>
                  <pic:spPr>
                    <a:xfrm>
                      <a:off x="0" y="0"/>
                      <a:ext cx="5806440" cy="2626225"/>
                    </a:xfrm>
                    <a:prstGeom prst="rect"/>
                  </pic:spPr>
                </pic:pic>
              </a:graphicData>
            </a:graphic>
          </wp:inline>
        </w:drawing>
      </w:r>
    </w:p>
    <w:p>
      <w:pPr>
        <w:keepNext w:val="0"/>
        <w:spacing w:before="40" w:after="100" w:line="240" w:lineRule="auto"/>
        <w:jc w:val="center"/>
      </w:pPr>
      <w:r>
        <w:rPr>
          <w:rFonts w:ascii="Times New Roman" w:hAnsi="Times New Roman"/>
          <w:i/>
          <w:color w:val="667085"/>
          <w:sz w:val="21"/>
        </w:rPr>
        <w:t>Figure 2. Left: the simulated TFIM hybrid is the advantage candidate. Right: every hardware-ready reservoir improves on the same linear residual ablation, although none beats GARCH on this common window.</w:t>
      </w:r>
    </w:p>
    <w:p>
      <w:pPr>
        <w:pStyle w:val="Heading2"/>
        <w:keepNext/>
        <w:spacing w:before="60"/>
      </w:pPr>
      <w:r>
        <w:rPr>
          <w:rFonts w:ascii="Times New Roman" w:hAnsi="Times New Roman"/>
          <w:b/>
          <w:color w:val="17365D"/>
          <w:sz w:val="26"/>
        </w:rPr>
        <w:t>Selection, noise, and ablation controls</w:t>
      </w:r>
    </w:p>
    <w:p>
      <w:pPr>
        <w:pStyle w:val="ListBullet"/>
        <w:spacing w:after="40" w:line="240" w:lineRule="auto"/>
      </w:pPr>
      <w:r>
        <w:rPr>
          <w:rFonts w:ascii="Times New Roman" w:hAnsi="Times New Roman"/>
          <w:color w:val="000000"/>
          <w:sz w:val="22"/>
        </w:rPr>
        <w:t>All hyperparameters, physical layouts, Ridge penalties, and correction strengths are chosen on expanding training/validation folds. Test rows are used once for scoring.</w:t>
      </w:r>
    </w:p>
    <w:p>
      <w:pPr>
        <w:pStyle w:val="ListBullet"/>
        <w:spacing w:after="40" w:line="240" w:lineRule="auto"/>
      </w:pPr>
      <w:r>
        <w:rPr>
          <w:rFonts w:ascii="Times New Roman" w:hAnsi="Times New Roman"/>
          <w:color w:val="000000"/>
          <w:sz w:val="22"/>
        </w:rPr>
        <w:t>The locked 9-qubit Rz grid candidate improves all four validation folds; its exact-statevector test gain is 0.536% in the final hardware configuration and its IQM-matched 500-shot proxy gain is 0.410%.</w:t>
      </w:r>
    </w:p>
    <w:p>
      <w:pPr>
        <w:pStyle w:val="ListBullet"/>
        <w:spacing w:after="40" w:line="240" w:lineRule="auto"/>
      </w:pPr>
      <w:r>
        <w:rPr>
          <w:rFonts w:ascii="Times New Roman" w:hAnsi="Times New Roman"/>
          <w:color w:val="000000"/>
          <w:sz w:val="22"/>
        </w:rPr>
        <w:t>On the 400/120 common window, Pasqal analog, gate QRC, QuEra analog, and signed-Ising reservoirs improve RMSE over the linear residual ablation by 2.36%, 2.10%, 1.79%, and 1.52%, respectively.</w:t>
      </w:r>
    </w:p>
    <w:p>
      <w:pPr>
        <w:pStyle w:val="ListBullet"/>
        <w:spacing w:after="40" w:line="240" w:lineRule="auto"/>
      </w:pPr>
      <w:r>
        <w:rPr>
          <w:rFonts w:ascii="Times New Roman" w:hAnsi="Times New Roman"/>
          <w:color w:val="000000"/>
          <w:sz w:val="22"/>
        </w:rPr>
        <w:t>The 12-qubit native-grid test is a pre-declared scaling check. It raises hardware-to-exact feature correlation from 0.770 to 0.818 but moves the forecast from 0.090% better than GARCH to 0.196% worse.</w:t>
      </w:r>
    </w:p>
    <w:p>
      <w:pPr>
        <w:pStyle w:val="Heading2"/>
        <w:keepNext/>
        <w:spacing w:before="60"/>
      </w:pPr>
      <w:r>
        <w:rPr>
          <w:rFonts w:ascii="Times New Roman" w:hAnsi="Times New Roman"/>
          <w:b/>
          <w:color w:val="17365D"/>
          <w:sz w:val="26"/>
        </w:rPr>
        <w:t>Interpretation of the simulated mechanism</w:t>
      </w:r>
    </w:p>
    <w:p>
      <w:pPr>
        <w:spacing w:before="0" w:after="80" w:line="240" w:lineRule="auto"/>
        <w:jc w:val="left"/>
      </w:pPr>
      <w:r>
        <w:rPr>
          <w:rFonts w:ascii="Times New Roman" w:hAnsi="Times New Roman"/>
          <w:color w:val="000000"/>
          <w:sz w:val="22"/>
        </w:rPr>
        <w:t>Removing the transverse field leaves the Amplify/Toshiba signed-Ising tier near GARCH but does not reproduce the full simulated gain; removing programmable signed couplings produces the neutral-atom tier with the same conclusion. The combined evidence supports a falsifiable mechanism hypothesis - useful residual features arise from the interaction of transverse-field mixing and signed couplings - while the real-QPU evidence supports competitiveness and portability rather than advantage.</w:t>
      </w:r>
    </w:p>
    <w:p>
      <w:pPr>
        <w:pStyle w:val="Heading1"/>
        <w:keepNext/>
        <w:spacing w:before="200"/>
      </w:pPr>
      <w:r>
        <w:rPr>
          <w:rFonts w:ascii="Times New Roman" w:hAnsi="Times New Roman"/>
          <w:b/>
          <w:color w:val="17365D"/>
          <w:sz w:val="32"/>
        </w:rPr>
        <w:t>4. Executed hardware and cloud results</w:t>
      </w:r>
    </w:p>
    <w:p>
      <w:pPr>
        <w:spacing w:before="0" w:after="80" w:line="240" w:lineRule="auto"/>
        <w:jc w:val="left"/>
      </w:pPr>
      <w:r>
        <w:rPr>
          <w:rFonts w:ascii="Times New Roman" w:hAnsi="Times New Roman"/>
          <w:color w:val="000000"/>
          <w:sz w:val="22"/>
        </w:rPr>
        <w:t>All reported rows below are completed external executions. Each is compared with GARCH evaluated on the identical held-out rows; therefore percentages are comparable within a row even when absolute RMSE differs across windows.</w:t>
      </w:r>
    </w:p>
    <w:p>
      <w:pPr>
        <w:spacing w:before="20" w:after="20"/>
        <w:jc w:val="center"/>
      </w:pPr>
      <w:r>
        <w:drawing>
          <wp:inline xmlns:a="http://schemas.openxmlformats.org/drawingml/2006/main" xmlns:pic="http://schemas.openxmlformats.org/drawingml/2006/picture">
            <wp:extent cx="5806440" cy="2759523"/>
            <wp:docPr id="3" name="Picture 3" descr="Two-panel hardware result figure showing RMSE gaps to matched GARCH across IQM, QuEra, Amplify, and Toshiba, plus the 9-to-12-qubit IQM scaling result." title="Two-panel hardware result figure showing RMSE gaps to matched GARCH across IQM, "/>
            <wp:cNvGraphicFramePr>
              <a:graphicFrameLocks noChangeAspect="1"/>
            </wp:cNvGraphicFramePr>
            <a:graphic>
              <a:graphicData uri="http://schemas.openxmlformats.org/drawingml/2006/picture">
                <pic:pic>
                  <pic:nvPicPr>
                    <pic:cNvPr id="0" name="phase3_hardware_evidence.png"/>
                    <pic:cNvPicPr/>
                  </pic:nvPicPr>
                  <pic:blipFill>
                    <a:blip r:embed="rId13"/>
                    <a:stretch>
                      <a:fillRect/>
                    </a:stretch>
                  </pic:blipFill>
                  <pic:spPr>
                    <a:xfrm>
                      <a:off x="0" y="0"/>
                      <a:ext cx="5806440" cy="2759523"/>
                    </a:xfrm>
                    <a:prstGeom prst="rect"/>
                  </pic:spPr>
                </pic:pic>
              </a:graphicData>
            </a:graphic>
          </wp:inline>
        </w:drawing>
      </w:r>
    </w:p>
    <w:p>
      <w:pPr>
        <w:keepNext w:val="0"/>
        <w:spacing w:before="40" w:after="100" w:line="240" w:lineRule="auto"/>
        <w:jc w:val="center"/>
      </w:pPr>
      <w:r>
        <w:rPr>
          <w:rFonts w:ascii="Times New Roman" w:hAnsi="Times New Roman"/>
          <w:i/>
          <w:color w:val="667085"/>
          <w:sz w:val="21"/>
        </w:rPr>
        <w:t>Figure 3. A negative RMSE gap is better. Panel B shows that higher 12-qubit feature fidelity does not improve the forecast.</w:t>
      </w:r>
    </w:p>
    <w:tbl>
      <w:tblPr>
        <w:tblStyle w:val="TableGrid"/>
        <w:tblW w:type="dxa" w:w="9360"/>
        <w:jc w:val="left"/>
        <w:tblLayout w:type="fixed"/>
        <w:tblLook w:firstColumn="1" w:firstRow="1" w:lastColumn="0" w:lastRow="0" w:noHBand="0" w:noVBand="1" w:val="04A0"/>
        <w:tblInd w:w="120" w:type="dxa"/>
      </w:tblPr>
      <w:tblGrid>
        <w:gridCol w:w="1250"/>
        <w:gridCol w:w="2060"/>
        <w:gridCol w:w="1400"/>
        <w:gridCol w:w="1350"/>
        <w:gridCol w:w="900"/>
        <w:gridCol w:w="2400"/>
      </w:tblGrid>
      <w:tr>
        <w:trPr>
          <w:tblHeader w:val="true"/>
        </w:trPr>
        <w:tc>
          <w:tcPr>
            <w:tcW w:type="dxa" w:w="125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Platform</w:t>
            </w:r>
          </w:p>
        </w:tc>
        <w:tc>
          <w:tcPr>
            <w:tcW w:type="dxa" w:w="206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Native workload</w:t>
            </w:r>
          </w:p>
        </w:tc>
        <w:tc>
          <w:tcPr>
            <w:tcW w:type="dxa" w:w="14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Evaluation</w:t>
            </w:r>
          </w:p>
        </w:tc>
        <w:tc>
          <w:tcPr>
            <w:tcW w:type="dxa" w:w="135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Budget used</w:t>
            </w:r>
          </w:p>
        </w:tc>
        <w:tc>
          <w:tcPr>
            <w:tcW w:type="dxa" w:w="9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RMSE gap</w:t>
            </w:r>
          </w:p>
        </w:tc>
        <w:tc>
          <w:tcPr>
            <w:tcW w:type="dxa" w:w="24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Reading</w:t>
            </w:r>
          </w:p>
        </w:tc>
      </w:tr>
      <w:tr>
        <w:tc>
          <w:tcPr>
            <w:tcW w:type="dxa" w:w="125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IQM Emerald 9q</w:t>
            </w:r>
          </w:p>
        </w:tc>
        <w:tc>
          <w:tcPr>
            <w:tcW w:type="dxa" w:w="206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depth 32; 24 CZ; 0 SWAP</w:t>
            </w:r>
          </w:p>
        </w:tc>
        <w:tc>
          <w:tcPr>
            <w:tcW w:type="dxa" w:w="14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120 x 500 shots</w:t>
            </w:r>
          </w:p>
        </w:tc>
        <w:tc>
          <w:tcPr>
            <w:tcW w:type="dxa" w:w="135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20.25 Resonance cr</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-0.0895%</w:t>
            </w:r>
          </w:p>
        </w:tc>
        <w:tc>
          <w:tcPr>
            <w:tcW w:type="dxa" w:w="240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Primary QPU; CI crosses zero</w:t>
            </w:r>
          </w:p>
        </w:tc>
      </w:tr>
      <w:tr>
        <w:tc>
          <w:tcPr>
            <w:tcW w:type="dxa" w:w="125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IQM Emerald 12q</w:t>
            </w:r>
          </w:p>
        </w:tc>
        <w:tc>
          <w:tcPr>
            <w:tcW w:type="dxa" w:w="206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depth 38; 34 CZ; 0 SWAP</w:t>
            </w:r>
          </w:p>
        </w:tc>
        <w:tc>
          <w:tcPr>
            <w:tcW w:type="dxa" w:w="14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120 x 500 shots</w:t>
            </w:r>
          </w:p>
        </w:tc>
        <w:tc>
          <w:tcPr>
            <w:tcW w:type="dxa" w:w="135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20.25 Resonance cr</w:t>
            </w:r>
          </w:p>
        </w:tc>
        <w:tc>
          <w:tcPr>
            <w:tcW w:type="dxa" w:w="9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+0.1960%</w:t>
            </w:r>
          </w:p>
        </w:tc>
        <w:tc>
          <w:tcPr>
            <w:tcW w:type="dxa" w:w="240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Scaling negative result</w:t>
            </w:r>
          </w:p>
        </w:tc>
      </w:tr>
      <w:tr>
        <w:tc>
          <w:tcPr>
            <w:tcW w:type="dxa" w:w="125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QuEra Aquila 5 atoms</w:t>
            </w:r>
          </w:p>
        </w:tc>
        <w:tc>
          <w:tcPr>
            <w:tcW w:type="dxa" w:w="206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native AHS; local detuning</w:t>
            </w:r>
          </w:p>
        </w:tc>
        <w:tc>
          <w:tcPr>
            <w:tcW w:type="dxa" w:w="14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23 tasks x 50 shots; 20 scored</w:t>
            </w:r>
          </w:p>
        </w:tc>
        <w:tc>
          <w:tcPr>
            <w:tcW w:type="dxa" w:w="135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1,840 qBraid cr</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+0.1823%</w:t>
            </w:r>
          </w:p>
        </w:tc>
        <w:tc>
          <w:tcPr>
            <w:tcW w:type="dxa" w:w="240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Only 0.029% behind local AHS</w:t>
            </w:r>
          </w:p>
        </w:tc>
      </w:tr>
      <w:tr>
        <w:tc>
          <w:tcPr>
            <w:tcW w:type="dxa" w:w="125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Amplify AE</w:t>
            </w:r>
          </w:p>
        </w:tc>
        <w:tc>
          <w:tcPr>
            <w:tcW w:type="dxa" w:w="206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10 spins; 45 signed couplers</w:t>
            </w:r>
          </w:p>
        </w:tc>
        <w:tc>
          <w:tcPr>
            <w:tcW w:type="dxa" w:w="14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120 cloud solves</w:t>
            </w:r>
          </w:p>
        </w:tc>
        <w:tc>
          <w:tcPr>
            <w:tcW w:type="dxa" w:w="135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existing AE credits</w:t>
            </w:r>
          </w:p>
        </w:tc>
        <w:tc>
          <w:tcPr>
            <w:tcW w:type="dxa" w:w="9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+0.0551%</w:t>
            </w:r>
          </w:p>
        </w:tc>
        <w:tc>
          <w:tcPr>
            <w:tcW w:type="dxa" w:w="240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Optimizer-matched classical ablation</w:t>
            </w:r>
          </w:p>
        </w:tc>
      </w:tr>
      <w:tr>
        <w:tc>
          <w:tcPr>
            <w:tcW w:type="dxa" w:w="125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Toshiba SQBM+</w:t>
            </w:r>
          </w:p>
        </w:tc>
        <w:tc>
          <w:tcPr>
            <w:tcW w:type="dxa" w:w="206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10 spins; 45 signed couplers</w:t>
            </w:r>
          </w:p>
        </w:tc>
        <w:tc>
          <w:tcPr>
            <w:tcW w:type="dxa" w:w="14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120 x 200 states</w:t>
            </w:r>
          </w:p>
        </w:tc>
        <w:tc>
          <w:tcPr>
            <w:tcW w:type="dxa" w:w="135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existing SQBM credits</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+0.4206%</w:t>
            </w:r>
          </w:p>
        </w:tc>
        <w:tc>
          <w:tcPr>
            <w:tcW w:type="dxa" w:w="240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Classical sampling ablation</w:t>
            </w:r>
          </w:p>
        </w:tc>
      </w:tr>
    </w:tbl>
    <w:p>
      <w:pPr>
        <w:spacing w:after="40"/>
      </w:pPr>
    </w:p>
    <w:p>
      <w:pPr>
        <w:pStyle w:val="Heading2"/>
        <w:keepNext/>
        <w:spacing w:before="40"/>
      </w:pPr>
      <w:r>
        <w:rPr>
          <w:rFonts w:ascii="Times New Roman" w:hAnsi="Times New Roman"/>
          <w:b/>
          <w:color w:val="17365D"/>
          <w:sz w:val="26"/>
        </w:rPr>
        <w:t>Primary IQM result</w:t>
      </w:r>
    </w:p>
    <w:p>
      <w:pPr>
        <w:spacing w:before="0" w:after="80" w:line="240" w:lineRule="auto"/>
        <w:jc w:val="left"/>
      </w:pPr>
      <w:r>
        <w:rPr>
          <w:rFonts w:ascii="Times New Roman" w:hAnsi="Times New Roman"/>
          <w:color w:val="000000"/>
          <w:sz w:val="22"/>
        </w:rPr>
        <w:t>Emerald job 019f5691-063b-7a11-8bbc-db5057b79259 executed 60,000 shots on physical qubits QB17-19, QB25-27, and QB33-35. QREM plus feature-only affine transfer gives feature correlation 0.770 to exact and RMSE 0.00831368. The bootstrap probability that the model is better than GARCH is 0.658; the interval crosses zero. QLIKE is slightly worse than GARCH, so the defensible conclusion is GARCH-level real-QPU performance with a small positive RMSE point estimate.</w:t>
      </w:r>
    </w:p>
    <w:p>
      <w:pPr>
        <w:pStyle w:val="Heading2"/>
        <w:keepNext/>
        <w:spacing w:before="40"/>
      </w:pPr>
      <w:r>
        <w:rPr>
          <w:rFonts w:ascii="Times New Roman" w:hAnsi="Times New Roman"/>
          <w:b/>
          <w:color w:val="17365D"/>
          <w:sz w:val="26"/>
        </w:rPr>
        <w:t>Analog and cloud-Ising transfer</w:t>
      </w:r>
    </w:p>
    <w:p>
      <w:pPr>
        <w:spacing w:before="0" w:after="80" w:line="240" w:lineRule="auto"/>
        <w:jc w:val="left"/>
      </w:pPr>
      <w:r>
        <w:rPr>
          <w:rFonts w:ascii="Times New Roman" w:hAnsi="Times New Roman"/>
          <w:color w:val="000000"/>
          <w:sz w:val="22"/>
        </w:rPr>
        <w:t>Aquila completed 23 paid tasks after two zero-cost validation failures exposed native geometry and local-detuning constraints. Three unlabeled rows calibrate feature alignment and 20 rows are scored. Hardware RMSE is 0.0137535 versus 0.0137495 for the matched local AHS hybrid and 0.0137285 for GARCH; it improves 6.06% over the Ridge residual ablation. Amplify AE and Toshiba remain within 0.43% of GARCH but are classical optimizers, not evidence of quantum advantage.</w:t>
      </w:r>
    </w:p>
    <w:p>
      <w:pPr>
        <w:pStyle w:val="Heading2"/>
        <w:keepNext/>
        <w:spacing w:before="40"/>
      </w:pPr>
      <w:r>
        <w:rPr>
          <w:rFonts w:ascii="Times New Roman" w:hAnsi="Times New Roman"/>
          <w:b/>
          <w:color w:val="17365D"/>
          <w:sz w:val="26"/>
        </w:rPr>
        <w:t>Runtime and compute access</w:t>
      </w:r>
    </w:p>
    <w:p>
      <w:pPr>
        <w:spacing w:before="0" w:after="80" w:line="240" w:lineRule="auto"/>
        <w:jc w:val="left"/>
      </w:pPr>
      <w:r>
        <w:rPr>
          <w:rFonts w:ascii="Times New Roman" w:hAnsi="Times New Roman"/>
          <w:color w:val="000000"/>
          <w:sz w:val="22"/>
        </w:rPr>
        <w:t>The reproducible classical pipeline is light: the credit-safe judge notebook reproduces every reported value in about 8 s, and the local statevector reservoir-feature reference (2,984 training and 120 test states on 9 qubits) builds in about 55 s on a laptop CPU, with sub-second readout fitting and scoring. On hardware, each IQM job dispatches 60,000 shots (120 circuits x 500) and the Aquila campaign 1,150 shots (23 tasks x 50); QPU wall-clock is dominated by provider queue and allocation windows. All paid runs were funded from the team's own accounts: despite several requests, sponsor challenge credits on qBraid were not provisioned, so the Aquila campaign used the team's personal qBraid balance and the IQM runs used personal IQM Resonance credits.</w:t>
      </w:r>
    </w:p>
    <w:p>
      <w:pPr>
        <w:pStyle w:val="Heading1"/>
        <w:keepNext/>
        <w:spacing w:before="200"/>
      </w:pPr>
      <w:r>
        <w:rPr>
          <w:rFonts w:ascii="Times New Roman" w:hAnsi="Times New Roman"/>
          <w:b/>
          <w:color w:val="17365D"/>
          <w:sz w:val="32"/>
        </w:rPr>
        <w:t>5. Conclusions, impact, and reproducibility</w:t>
      </w:r>
    </w:p>
    <w:p>
      <w:pPr>
        <w:pStyle w:val="Heading2"/>
        <w:keepNext/>
        <w:spacing w:before="20"/>
      </w:pPr>
      <w:r>
        <w:rPr>
          <w:rFonts w:ascii="Times New Roman" w:hAnsi="Times New Roman"/>
          <w:b/>
          <w:color w:val="17365D"/>
          <w:sz w:val="26"/>
        </w:rPr>
        <w:t>Conclusions</w:t>
      </w:r>
    </w:p>
    <w:p>
      <w:pPr>
        <w:pStyle w:val="ListBullet"/>
        <w:spacing w:after="40" w:line="240" w:lineRule="auto"/>
      </w:pPr>
      <w:r>
        <w:rPr>
          <w:rFonts w:ascii="Times New Roman" w:hAnsi="Times New Roman"/>
          <w:color w:val="000000"/>
          <w:sz w:val="22"/>
        </w:rPr>
        <w:t>The hybrid architecture delivered measurable improvement, not merely parity: the simulated TFIM reduced RMSE by 1.31% and QLIKE by 6.09% versus GARCH; executed IQM 9q produced a 0.0895% lower RMSE point estimate; and the real Aquila hybrid improved 6.06% over the matched Ridge residual ablation.</w:t>
      </w:r>
    </w:p>
    <w:p>
      <w:pPr>
        <w:pStyle w:val="ListBullet"/>
        <w:spacing w:after="40" w:line="240" w:lineRule="auto"/>
      </w:pPr>
      <w:r>
        <w:rPr>
          <w:rFonts w:ascii="Times New Roman" w:hAnsi="Times New Roman"/>
          <w:color w:val="000000"/>
          <w:sz w:val="22"/>
        </w:rPr>
        <w:t>The strongest mechanism claim remains simulated: the transverse-field signed-coupling reservoir improves RMSE and QLIKE over GARCH, whereas neutral-atom and classical signed-Ising ablations do not reproduce the full gain.</w:t>
      </w:r>
    </w:p>
    <w:p>
      <w:pPr>
        <w:pStyle w:val="ListBullet"/>
        <w:spacing w:after="40" w:line="240" w:lineRule="auto"/>
      </w:pPr>
      <w:r>
        <w:rPr>
          <w:rFonts w:ascii="Times New Roman" w:hAnsi="Times New Roman"/>
          <w:color w:val="000000"/>
          <w:sz w:val="22"/>
        </w:rPr>
        <w:t>More qubits are not automatically better. Native connectivity, noise-aware training, low-depth encoding, and conservative correction strength dominate width for this data regime.</w:t>
      </w:r>
    </w:p>
    <w:p>
      <w:pPr>
        <w:spacing w:before="0" w:after="80" w:line="240" w:lineRule="auto"/>
        <w:jc w:val="left"/>
      </w:pPr>
      <w:r>
        <w:rPr>
          <w:rFonts w:ascii="Times New Roman" w:hAnsi="Times New Roman"/>
          <w:color w:val="000000"/>
          <w:sz w:val="22"/>
        </w:rPr>
        <w:t>The full simulated improvement was not recovered on the executed QPUs. The ideal TFIM combines coherent transverse-field mixing with programmable signed interactions, while available devices impose restricted native couplings, finite-shot estimation, device noise, and mitigation or feature-transfer error. Even under those constraints, the residual hybrid preserves the GARCH baseline and produces the improvements above. Because the full simulator benchmark and hardware experiments use different evaluation windows, their percentages demonstrate complementary evidence rather than a direct numerical comparison.</w:t>
      </w:r>
    </w:p>
    <w:p>
      <w:pPr>
        <w:pStyle w:val="Heading2"/>
        <w:keepNext/>
        <w:spacing w:before="60"/>
      </w:pPr>
      <w:r>
        <w:rPr>
          <w:rFonts w:ascii="Times New Roman" w:hAnsi="Times New Roman"/>
          <w:b/>
          <w:color w:val="17365D"/>
          <w:sz w:val="26"/>
        </w:rPr>
        <w:t>Stakeholder relevance</w:t>
      </w:r>
    </w:p>
    <w:p>
      <w:pPr>
        <w:spacing w:before="0" w:after="80" w:line="240" w:lineRule="auto"/>
        <w:jc w:val="left"/>
      </w:pPr>
      <w:r>
        <w:rPr>
          <w:rFonts w:ascii="Times New Roman" w:hAnsi="Times New Roman"/>
          <w:color w:val="000000"/>
          <w:sz w:val="22"/>
        </w:rPr>
        <w:t>Daily volatility forecasts support trading-desk hedging, market-maker inventory and spread decisions, portfolio risk limits, and scenario generation. The practical contribution is a modular residual feature engine: it can be switched off to recover GARCH exactly, deployed on multiple substrates, and monitored by its correction magnitude and calibration metrics. That is safer for financial use than an opaque end-to-end replacement.</w:t>
      </w:r>
    </w:p>
    <w:p>
      <w:pPr>
        <w:pStyle w:val="Heading2"/>
        <w:keepNext/>
        <w:spacing w:before="60"/>
      </w:pPr>
      <w:r>
        <w:rPr>
          <w:rFonts w:ascii="Times New Roman" w:hAnsi="Times New Roman"/>
          <w:b/>
          <w:color w:val="17365D"/>
          <w:sz w:val="26"/>
        </w:rPr>
        <w:t>Limitations</w:t>
      </w:r>
    </w:p>
    <w:p>
      <w:pPr>
        <w:pStyle w:val="ListBullet"/>
        <w:spacing w:after="40" w:line="240" w:lineRule="auto"/>
      </w:pPr>
      <w:r>
        <w:rPr>
          <w:rFonts w:ascii="Times New Roman" w:hAnsi="Times New Roman"/>
          <w:color w:val="000000"/>
          <w:sz w:val="22"/>
        </w:rPr>
        <w:t>The IQM RMSE advantage is small and not statistically significant; QLIKE does not improve. Aquila has only 20 scored days and 50 shots per task.</w:t>
      </w:r>
    </w:p>
    <w:p>
      <w:pPr>
        <w:pStyle w:val="ListBullet"/>
        <w:spacing w:after="40" w:line="240" w:lineRule="auto"/>
      </w:pPr>
      <w:r>
        <w:rPr>
          <w:rFonts w:ascii="Times New Roman" w:hAnsi="Times New Roman"/>
          <w:color w:val="000000"/>
          <w:sz w:val="22"/>
        </w:rPr>
        <w:t>Amplify AE and Toshiba are useful control substrates but lack coherent transverse-field dynamics. The GARCH-beating TFIM result is simulated, not QPU-executed.</w:t>
      </w:r>
    </w:p>
    <w:p>
      <w:pPr>
        <w:pStyle w:val="ListBullet"/>
        <w:spacing w:after="40" w:line="240" w:lineRule="auto"/>
      </w:pPr>
      <w:r>
        <w:rPr>
          <w:rFonts w:ascii="Times New Roman" w:hAnsi="Times New Roman"/>
          <w:color w:val="000000"/>
          <w:sz w:val="22"/>
        </w:rPr>
        <w:t>The baseline panel should ultimately include GJR-GARCH, EGARCH, and HAR-RV on the exact hardware window; current full-window baselines already include GARCH, ESN, LSTM, Ridge/AR, and Persistence.</w:t>
      </w:r>
    </w:p>
    <w:p>
      <w:pPr>
        <w:pStyle w:val="Heading2"/>
        <w:keepNext/>
        <w:spacing w:before="60"/>
      </w:pPr>
      <w:r>
        <w:rPr>
          <w:rFonts w:ascii="Times New Roman" w:hAnsi="Times New Roman"/>
          <w:b/>
          <w:color w:val="17365D"/>
          <w:sz w:val="26"/>
        </w:rPr>
        <w:t>Reproducibility and submission status</w:t>
      </w:r>
    </w:p>
    <w:tbl>
      <w:tblPr>
        <w:tblStyle w:val="TableGrid"/>
        <w:tblW w:type="dxa" w:w="9360"/>
        <w:jc w:val="left"/>
        <w:tblLayout w:type="fixed"/>
        <w:tblLook w:firstColumn="1" w:firstRow="1" w:lastColumn="0" w:lastRow="0" w:noHBand="0" w:noVBand="1" w:val="04A0"/>
        <w:tblInd w:w="120" w:type="dxa"/>
      </w:tblPr>
      <w:tblGrid>
        <w:gridCol w:w="1900"/>
        <w:gridCol w:w="5500"/>
        <w:gridCol w:w="1960"/>
      </w:tblGrid>
      <w:tr>
        <w:trPr>
          <w:tblHeader w:val="true"/>
        </w:trPr>
        <w:tc>
          <w:tcPr>
            <w:tcW w:type="dxa" w:w="19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Requirement</w:t>
            </w:r>
          </w:p>
        </w:tc>
        <w:tc>
          <w:tcPr>
            <w:tcW w:type="dxa" w:w="550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Evidence in repository</w:t>
            </w:r>
          </w:p>
        </w:tc>
        <w:tc>
          <w:tcPr>
            <w:tcW w:type="dxa" w:w="1960"/>
            <w:shd w:fill="17365D"/>
            <w:tcMar>
              <w:top w:w="80" w:type="dxa"/>
              <w:start w:w="120" w:type="dxa"/>
              <w:bottom w:w="80" w:type="dxa"/>
              <w:end w:w="120" w:type="dxa"/>
            </w:tcMar>
            <w:vAlign w:val="center"/>
          </w:tcPr>
          <w:p>
            <w:pPr>
              <w:spacing w:after="0" w:line="240" w:lineRule="auto"/>
              <w:jc w:val="center"/>
            </w:pPr>
            <w:r>
              <w:rPr>
                <w:rFonts w:ascii="Times New Roman" w:hAnsi="Times New Roman"/>
                <w:b/>
                <w:color w:val="FFFFFF"/>
                <w:sz w:val="18"/>
              </w:rPr>
              <w:t>Status</w:t>
            </w:r>
          </w:p>
        </w:tc>
      </w:tr>
      <w:tr>
        <w:tc>
          <w:tcPr>
            <w:tcW w:type="dxa" w:w="190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Concrete qBraid execution</w:t>
            </w:r>
          </w:p>
        </w:tc>
        <w:tc>
          <w:tcPr>
            <w:tcW w:type="dxa" w:w="55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Aquila task IDs/checkpoint; qir-sv execution records</w:t>
            </w:r>
          </w:p>
        </w:tc>
        <w:tc>
          <w:tcPr>
            <w:tcW w:type="dxa" w:w="196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Complete</w:t>
            </w:r>
          </w:p>
        </w:tc>
      </w:tr>
      <w:tr>
        <w:tc>
          <w:tcPr>
            <w:tcW w:type="dxa" w:w="190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Re-runnable code and outputs</w:t>
            </w:r>
          </w:p>
        </w:tc>
        <w:tc>
          <w:tcPr>
            <w:tcW w:type="dxa" w:w="55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Judge notebook, experiments/, compact CSV/JSON evidence</w:t>
            </w:r>
          </w:p>
        </w:tc>
        <w:tc>
          <w:tcPr>
            <w:tcW w:type="dxa" w:w="196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Complete</w:t>
            </w:r>
          </w:p>
        </w:tc>
      </w:tr>
      <w:tr>
        <w:tc>
          <w:tcPr>
            <w:tcW w:type="dxa" w:w="190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5-page, 11-point write-up</w:t>
            </w:r>
          </w:p>
        </w:tc>
        <w:tc>
          <w:tcPr>
            <w:tcW w:type="dxa" w:w="5500"/>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This body (11-pt Times New Roman) plus separate references</w:t>
            </w:r>
          </w:p>
        </w:tc>
        <w:tc>
          <w:tcPr>
            <w:tcW w:type="dxa" w:w="1960"/>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Complete</w:t>
            </w:r>
          </w:p>
        </w:tc>
      </w:tr>
      <w:tr>
        <w:tc>
          <w:tcPr>
            <w:tcW w:type="dxa" w:w="190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Official cover and Launch on qBraid</w:t>
            </w:r>
          </w:p>
        </w:tc>
        <w:tc>
          <w:tcPr>
            <w:tcW w:type="dxa" w:w="5500"/>
            <w:shd w:fill="F8FAFC"/>
            <w:tcMar>
              <w:top w:w="80" w:type="dxa"/>
              <w:start w:w="120" w:type="dxa"/>
              <w:bottom w:w="80" w:type="dxa"/>
              <w:end w:w="120" w:type="dxa"/>
            </w:tcMar>
            <w:vAlign w:val="center"/>
          </w:tcPr>
          <w:p>
            <w:pPr>
              <w:spacing w:after="0" w:line="240" w:lineRule="auto"/>
              <w:jc w:val="center"/>
            </w:pPr>
            <w:r>
              <w:rPr>
                <w:rFonts w:ascii="Times New Roman" w:hAnsi="Times New Roman"/>
                <w:color w:val="000000"/>
                <w:sz w:val="18"/>
              </w:rPr>
              <w:t>Official Phase 3 cover prepended; README Launch on qBraid button</w:t>
            </w:r>
          </w:p>
        </w:tc>
        <w:tc>
          <w:tcPr>
            <w:tcW w:type="dxa" w:w="1960"/>
            <w:shd w:fill="F8FAFC"/>
            <w:tcMar>
              <w:top w:w="80" w:type="dxa"/>
              <w:start w:w="120" w:type="dxa"/>
              <w:bottom w:w="80" w:type="dxa"/>
              <w:end w:w="120" w:type="dxa"/>
            </w:tcMar>
            <w:vAlign w:val="center"/>
          </w:tcPr>
          <w:p>
            <w:pPr>
              <w:spacing w:after="0" w:line="240" w:lineRule="auto"/>
              <w:jc w:val="left"/>
            </w:pPr>
            <w:r>
              <w:rPr>
                <w:rFonts w:ascii="Times New Roman" w:hAnsi="Times New Roman"/>
                <w:color w:val="000000"/>
                <w:sz w:val="18"/>
              </w:rPr>
              <w:t>Complete</w:t>
            </w:r>
          </w:p>
        </w:tc>
      </w:tr>
    </w:tbl>
    <w:p>
      <w:pPr>
        <w:spacing w:after="40"/>
      </w:pPr>
    </w:p>
    <w:p>
      <w:pPr>
        <w:pStyle w:val="Heading1"/>
        <w:keepNext/>
        <w:spacing w:before="240"/>
      </w:pPr>
      <w:r>
        <w:rPr>
          <w:rFonts w:ascii="Times New Roman" w:hAnsi="Times New Roman"/>
          <w:b/>
          <w:color w:val="17365D"/>
          <w:sz w:val="32"/>
        </w:rPr>
        <w:t>References (excluded from the five-page limit)</w:t>
      </w:r>
    </w:p>
    <w:p>
      <w:pPr>
        <w:pStyle w:val="ListNumber"/>
        <w:spacing w:after="80" w:line="240" w:lineRule="auto"/>
      </w:pPr>
      <w:r>
        <w:rPr>
          <w:rFonts w:ascii="Times New Roman" w:hAnsi="Times New Roman"/>
          <w:color w:val="000000"/>
          <w:sz w:val="22"/>
        </w:rPr>
        <w:t>qBraid, MITRE, and JonesTrading. Global Industry Challenge 2026: Phase 3 Challenge Description. 2026.</w:t>
      </w:r>
    </w:p>
    <w:p>
      <w:pPr>
        <w:pStyle w:val="ListNumber"/>
        <w:spacing w:after="80" w:line="240" w:lineRule="auto"/>
      </w:pPr>
      <w:r>
        <w:rPr>
          <w:rFonts w:ascii="Times New Roman" w:hAnsi="Times New Roman"/>
          <w:color w:val="000000"/>
          <w:sz w:val="22"/>
        </w:rPr>
        <w:t>Aqora. qBraid, MITRE &amp; JonesTrading: GIC 2026 track page. https://aqora.io/challenges/global-industry-challenge-2026/tracks/gic-2026-qBraid-MITRE-JonesTrading (accessed 15 July 2026).</w:t>
      </w:r>
    </w:p>
    <w:p>
      <w:pPr>
        <w:pStyle w:val="ListNumber"/>
        <w:spacing w:after="80" w:line="240" w:lineRule="auto"/>
      </w:pPr>
      <w:r>
        <w:rPr>
          <w:rFonts w:ascii="Times New Roman" w:hAnsi="Times New Roman"/>
          <w:color w:val="000000"/>
          <w:sz w:val="22"/>
        </w:rPr>
        <w:t>Bollerslev, T. Generalized autoregressive conditional heteroskedasticity. Journal of Econometrics 31, 307-327 (1986).</w:t>
      </w:r>
    </w:p>
    <w:p>
      <w:pPr>
        <w:pStyle w:val="ListNumber"/>
        <w:spacing w:after="80" w:line="240" w:lineRule="auto"/>
      </w:pPr>
      <w:r>
        <w:rPr>
          <w:rFonts w:ascii="Times New Roman" w:hAnsi="Times New Roman"/>
          <w:color w:val="000000"/>
          <w:sz w:val="22"/>
        </w:rPr>
        <w:t>Corsi, F. A simple approximate long-memory model of realized volatility. Journal of Financial Econometrics 7, 174-196 (2009).</w:t>
      </w:r>
    </w:p>
    <w:p>
      <w:pPr>
        <w:pStyle w:val="ListNumber"/>
        <w:spacing w:after="80" w:line="240" w:lineRule="auto"/>
      </w:pPr>
      <w:r>
        <w:rPr>
          <w:rFonts w:ascii="Times New Roman" w:hAnsi="Times New Roman"/>
          <w:color w:val="000000"/>
          <w:sz w:val="22"/>
        </w:rPr>
        <w:t>Patton, A. J. Volatility forecast comparison using imperfect volatility proxies. Journal of Econometrics 160, 246-256 (2011).</w:t>
      </w:r>
    </w:p>
    <w:p>
      <w:pPr>
        <w:pStyle w:val="ListNumber"/>
        <w:spacing w:after="80" w:line="240" w:lineRule="auto"/>
      </w:pPr>
      <w:r>
        <w:rPr>
          <w:rFonts w:ascii="Times New Roman" w:hAnsi="Times New Roman"/>
          <w:color w:val="000000"/>
          <w:sz w:val="22"/>
        </w:rPr>
        <w:t>Jaeger, H. The echo state approach to analysing and training recurrent neural networks. GMD Report 148 (2001).</w:t>
      </w:r>
    </w:p>
    <w:p>
      <w:pPr>
        <w:pStyle w:val="ListNumber"/>
        <w:spacing w:after="80" w:line="240" w:lineRule="auto"/>
      </w:pPr>
      <w:r>
        <w:rPr>
          <w:rFonts w:ascii="Times New Roman" w:hAnsi="Times New Roman"/>
          <w:color w:val="000000"/>
          <w:sz w:val="22"/>
        </w:rPr>
        <w:t>Fujii, K. and Nakajima, K. Harnessing disordered-ensemble quantum dynamics for machine learning. Physical Review Applied 8, 024030 (2017).</w:t>
      </w:r>
    </w:p>
    <w:p>
      <w:pPr>
        <w:pStyle w:val="ListNumber"/>
        <w:spacing w:after="80" w:line="240" w:lineRule="auto"/>
      </w:pPr>
      <w:r>
        <w:rPr>
          <w:rFonts w:ascii="Times New Roman" w:hAnsi="Times New Roman"/>
          <w:color w:val="000000"/>
          <w:sz w:val="22"/>
        </w:rPr>
        <w:t>Martinez-Pena, R. et al. Dynamical phase transitions in quantum reservoir computing. Physical Review Letters 127, 100502 (2021).</w:t>
      </w:r>
    </w:p>
    <w:p>
      <w:pPr>
        <w:pStyle w:val="ListNumber"/>
        <w:spacing w:after="80" w:line="240" w:lineRule="auto"/>
      </w:pPr>
      <w:r>
        <w:rPr>
          <w:rFonts w:ascii="Times New Roman" w:hAnsi="Times New Roman"/>
          <w:color w:val="000000"/>
          <w:sz w:val="22"/>
        </w:rPr>
        <w:t>Kornjaca, M. et al. Large-scale quantum reservoir learning with an analog quantum computer. arXiv:2407.02553 (2024).</w:t>
      </w:r>
    </w:p>
    <w:p>
      <w:pPr>
        <w:pStyle w:val="ListNumber"/>
        <w:spacing w:after="80" w:line="240" w:lineRule="auto"/>
      </w:pPr>
      <w:r>
        <w:rPr>
          <w:rFonts w:ascii="Times New Roman" w:hAnsi="Times New Roman"/>
          <w:color w:val="000000"/>
          <w:sz w:val="22"/>
        </w:rPr>
        <w:t>Li, Q., Mukhopadhyay, C., Bayat, A., and Habibnia, A. Quantum reservoir computing for realized volatility forecasting. arXiv:2505.13933 (2025).</w:t>
      </w:r>
    </w:p>
    <w:p>
      <w:pPr>
        <w:pStyle w:val="ListNumber"/>
        <w:spacing w:after="80" w:line="240" w:lineRule="auto"/>
      </w:pPr>
      <w:r>
        <w:rPr>
          <w:rFonts w:ascii="Times New Roman" w:hAnsi="Times New Roman"/>
          <w:color w:val="000000"/>
          <w:sz w:val="22"/>
        </w:rPr>
        <w:t>Ahmed, O., Tennie, F., and Magri, L. Robust quantum reservoir computers for forecasting chaotic dynamics. Proceedings of the Royal Society A 481, 20250550 (2025).</w:t>
      </w:r>
    </w:p>
    <w:p>
      <w:pPr>
        <w:pStyle w:val="ListNumber"/>
        <w:spacing w:after="80" w:line="240" w:lineRule="auto"/>
      </w:pPr>
      <w:r>
        <w:rPr>
          <w:rFonts w:ascii="Times New Roman" w:hAnsi="Times New Roman"/>
          <w:color w:val="000000"/>
          <w:sz w:val="22"/>
        </w:rPr>
        <w:t>qBraid. Launch on qBraid badge and repository redirect parameters. https://github.com/qBraid/community/discussions/3 (accessed 15 July 2026).</w:t>
      </w:r>
    </w:p>
    <w:p>
      <w:pPr>
        <w:pStyle w:val="Heading2"/>
        <w:keepNext/>
        <w:spacing w:before="160"/>
      </w:pPr>
      <w:r>
        <w:rPr>
          <w:rFonts w:ascii="Times New Roman" w:hAnsi="Times New Roman"/>
          <w:b/>
          <w:color w:val="17365D"/>
          <w:sz w:val="26"/>
        </w:rPr>
        <w:t>Artifact disclosure</w:t>
      </w:r>
    </w:p>
    <w:p>
      <w:pPr>
        <w:spacing w:before="0" w:after="80" w:line="240" w:lineRule="auto"/>
        <w:jc w:val="left"/>
      </w:pPr>
      <w:r>
        <w:rPr>
          <w:rFonts w:ascii="Times New Roman" w:hAnsi="Times New Roman"/>
          <w:color w:val="000000"/>
          <w:sz w:val="22"/>
        </w:rPr>
        <w:t>Generative AI tools were used for code support, debugging, figure generation, and writing assistance. The experimental design, platform choices, executed jobs, result interpretation, and final claims are the team's own. Secrets and access tokens are excluded from the repository and must be rotated after the hardware campaign.</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667085"/>
        <w:sz w:val="18"/>
      </w:rPr>
      <w:t xml:space="preserve">Team Quanties | Page </w:t>
    </w:r>
    <w:r>
      <w:rPr>
        <w:rFonts w:ascii="Times New Roman" w:hAnsi="Times New Roman"/>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67085"/>
        <w:sz w:val="18"/>
      </w:rPr>
      <w:t>GIC 2026 | qBraid - MITRE - JonesTrading | Phase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Times New Roman" w:hAnsi="Times New Roman"/>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605" w:hanging="317"/>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605" w:hanging="317"/>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Hardware-Competitive Quantum Reservoir Computing for SPY Volatility</dc:title>
  <dc:subject>GIC 2026 Phase 3 technical write-up</dc:subject>
  <dc:creator>Team Quanties</dc:creator>
  <cp:keywords>quantum reservoir computing, volatility forecasting, IQM, QuEra, qBraid</cp:keywords>
  <dc:description>Generated from saved experiment artifacts; official Phase 3 cover prepended in the PDF build.</dc:description>
  <cp:lastModifiedBy/>
  <cp:revision>1</cp:revision>
  <dcterms:created xsi:type="dcterms:W3CDTF">2013-12-23T23:15:00Z</dcterms:created>
  <dcterms:modified xsi:type="dcterms:W3CDTF">2013-12-23T23:15:00Z</dcterms:modified>
  <cp:category/>
</cp:coreProperties>
</file>