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08af9ae42549803dce0bcf6e9a86dc490adf09"/>
    <w:p>
      <w:pPr>
        <w:pStyle w:val="Heading1"/>
      </w:pPr>
      <w:r>
        <w:t xml:space="preserve">Quantum Reservoir Computing for Realized Volatility Forecasting under Regime Shifts</w:t>
      </w:r>
    </w:p>
    <w:p>
      <w:pPr>
        <w:pStyle w:val="FirstParagraph"/>
      </w:pPr>
      <w:r>
        <w:rPr>
          <w:i/>
          <w:iCs/>
        </w:rPr>
        <w:t xml:space="preserve">GIC 2026 Phase 2 Submission — Track A: Financial Volatility Prediction</w:t>
      </w:r>
      <w:r>
        <w:t xml:space="preserve"> </w:t>
      </w:r>
      <w:r>
        <w:rPr>
          <w:i/>
          <w:iCs/>
        </w:rPr>
        <w:t xml:space="preserve">Challenge Provider: qBraid, MITRE, JonesTrading</w:t>
      </w:r>
    </w:p>
    <w:p>
      <w:pPr>
        <w:pStyle w:val="BlockText"/>
      </w:pPr>
      <w:r>
        <w:rPr>
          <w:b/>
          <w:bCs/>
        </w:rPr>
        <w:t xml:space="preserve">Note for the paper PDF:</w:t>
      </w:r>
      <w:r>
        <w:t xml:space="preserve"> </w:t>
      </w:r>
      <w:r>
        <w:t xml:space="preserve">The cover page (</w:t>
      </w:r>
      <w:r>
        <w:rPr>
          <w:rStyle w:val="VerbatimChar"/>
        </w:rPr>
        <w:t xml:space="preserve">GIC_2026 Cover Page.docx</w:t>
      </w:r>
      <w:r>
        <w:t xml:space="preserve">) must</w:t>
      </w:r>
      <w:r>
        <w:t xml:space="preserve"> </w:t>
      </w:r>
      <w:r>
        <w:t xml:space="preserve">be the first page. This draft is the body content, ≤ 3 pages at 11-pt Times</w:t>
      </w:r>
      <w:r>
        <w:t xml:space="preserve"> </w:t>
      </w:r>
      <w:r>
        <w:t xml:space="preserve">New Roman, single spacing. References live on a separate page and do not</w:t>
      </w:r>
      <w:r>
        <w:t xml:space="preserve"> </w:t>
      </w:r>
      <w:r>
        <w:t xml:space="preserve">count against the 3-page limit.</w:t>
      </w:r>
    </w:p>
    <w:p>
      <w:r>
        <w:pict>
          <v:rect style="width:0;height:1.5pt" o:hralign="center" o:hrstd="t" o:hr="t"/>
        </w:pict>
      </w:r>
    </w:p>
    <w:bookmarkStart w:id="20" w:name="track-selection-and-problem-framing"/>
    <w:p>
      <w:pPr>
        <w:pStyle w:val="Heading2"/>
      </w:pPr>
      <w:r>
        <w:t xml:space="preserve">1. Track Selection and Problem Framing</w:t>
      </w:r>
    </w:p>
    <w:p>
      <w:pPr>
        <w:pStyle w:val="FirstParagraph"/>
      </w:pPr>
      <w:r>
        <w:t xml:space="preserve">We select</w:t>
      </w:r>
      <w:r>
        <w:t xml:space="preserve"> </w:t>
      </w:r>
      <w:r>
        <w:rPr>
          <w:b/>
          <w:bCs/>
        </w:rPr>
        <w:t xml:space="preserve">Track A — Financial Volatility Prediction</w:t>
      </w:r>
      <w:r>
        <w:t xml:space="preserve">, targeting next-day</w:t>
      </w:r>
      <w:r>
        <w:t xml:space="preserve"> </w:t>
      </w:r>
      <w:r>
        <w:rPr>
          <w:b/>
          <w:bCs/>
        </w:rPr>
        <w:t xml:space="preserve">realized volatility of SPY</w:t>
      </w:r>
      <w:r>
        <w:t xml:space="preserve"> </w:t>
      </w:r>
      <w:r>
        <w:t xml:space="preserve">(21-day rolling-std × √252) over 2010–2024</w:t>
      </w:r>
      <w:r>
        <w:t xml:space="preserve"> </w:t>
      </w:r>
      <w:r>
        <w:t xml:space="preserve">daily data (3,750 trading days, yfinance source). The sub-problem is</w:t>
      </w:r>
      <w:r>
        <w:t xml:space="preserve"> </w:t>
      </w:r>
      <w:r>
        <w:t xml:space="preserve">sharpened beyond raw point forecasting: we test whether a QRC can match</w:t>
      </w:r>
      <w:r>
        <w:t xml:space="preserve"> </w:t>
      </w:r>
      <w:r>
        <w:t xml:space="preserve">the strongest classical benchmark (GARCH(1,1)) on average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its error profile is</w:t>
      </w:r>
      <w:r>
        <w:t xml:space="preserve"> </w:t>
      </w:r>
      <w:r>
        <w:rPr>
          <w:i/>
          <w:iCs/>
        </w:rPr>
        <w:t xml:space="preserve">more uniform across volatility regimes</w:t>
      </w:r>
      <w:r>
        <w:t xml:space="preserve"> </w:t>
      </w:r>
      <w:r>
        <w:t xml:space="preserve">— the</w:t>
      </w:r>
      <w:r>
        <w:t xml:space="preserve"> </w:t>
      </w:r>
      <w:r>
        <w:t xml:space="preserve">property risk managers actually want for stress-testing applications.</w:t>
      </w:r>
    </w:p>
    <w:p>
      <w:pPr>
        <w:pStyle w:val="BodyText"/>
      </w:pPr>
      <w:r>
        <w:t xml:space="preserve">QRC is well matched to this signal class because realized volatility is a</w:t>
      </w:r>
      <w:r>
        <w:t xml:space="preserve"> </w:t>
      </w:r>
      <w:r>
        <w:rPr>
          <w:b/>
          <w:bCs/>
        </w:rPr>
        <w:t xml:space="preserve">long-memory, regime-switching, non-Gaussian</w:t>
      </w:r>
      <w:r>
        <w:t xml:space="preserve"> </w:t>
      </w:r>
      <w:r>
        <w:t xml:space="preserve">process. The dominant signal</w:t>
      </w:r>
      <w:r>
        <w:t xml:space="preserve"> </w:t>
      </w:r>
      <w:r>
        <w:t xml:space="preserve">(autocorrelation ≈ 0.99 at one-day lag) is captured by lagged-vol features;</w:t>
      </w:r>
      <w:r>
        <w:t xml:space="preserve"> </w:t>
      </w:r>
      <w:r>
        <w:t xml:space="preserve">the residual is non-Gaussian noise with regime-dependent kurtosis. A</w:t>
      </w:r>
      <w:r>
        <w:t xml:space="preserve"> </w:t>
      </w:r>
      <w:r>
        <w:t xml:space="preserve">reservoir’s high-dimensional dynamics extract nonlinear interactions among</w:t>
      </w:r>
      <w:r>
        <w:t xml:space="preserve"> </w:t>
      </w:r>
      <w:r>
        <w:t xml:space="preserve">lagged returns, |returns|, and lagged-vol features, while a linear readout</w:t>
      </w:r>
      <w:r>
        <w:t xml:space="preserve"> </w:t>
      </w:r>
      <w:r>
        <w:t xml:space="preserve">enforces a stable classical interpretation — exactly the property exploited</w:t>
      </w:r>
      <w:r>
        <w:t xml:space="preserve"> </w:t>
      </w:r>
      <w:r>
        <w:t xml:space="preserve">by Li et al. (2025) on the same task. [1] The reservoir’s Hilbert-space</w:t>
      </w:r>
      <w:r>
        <w:t xml:space="preserve"> </w:t>
      </w:r>
      <w:r>
        <w:t xml:space="preserve">expressiveness also lets it carry information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regime the</w:t>
      </w:r>
      <w:r>
        <w:t xml:space="preserve"> </w:t>
      </w:r>
      <w:r>
        <w:t xml:space="preserve">market is in, which we exploit through a regime-conditional analysis (§3).</w:t>
      </w:r>
    </w:p>
    <w:bookmarkEnd w:id="20"/>
    <w:bookmarkStart w:id="21" w:name="qrc-architecture-design"/>
    <w:p>
      <w:pPr>
        <w:pStyle w:val="Heading2"/>
      </w:pPr>
      <w:r>
        <w:t xml:space="preserve">2. QRC Architecture Design</w:t>
      </w:r>
    </w:p>
    <w:p>
      <w:pPr>
        <w:pStyle w:val="FirstParagraph"/>
      </w:pPr>
      <w:r>
        <w:t xml:space="preserve">We propose a</w:t>
      </w:r>
      <w:r>
        <w:t xml:space="preserve"> </w:t>
      </w:r>
      <w:r>
        <w:rPr>
          <w:b/>
          <w:bCs/>
        </w:rPr>
        <w:t xml:space="preserve">transverse-field Ising reservoir</w:t>
      </w:r>
      <w:r>
        <w:t xml:space="preserve"> </w:t>
      </w:r>
      <w:r>
        <w:t xml:space="preserve">with classical</w:t>
      </w:r>
      <w:r>
        <w:t xml:space="preserve"> </w:t>
      </w:r>
      <w:r>
        <w:t xml:space="preserve">input-bias encoding, evaluated at fixed mid-anneal parameters: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x</m:t>
                  </m:r>
                </m:sup>
              </m:sSubSup>
            </m:e>
          </m:nary>
          <m:r>
            <m:rPr>
              <m:sty m:val="p"/>
            </m:rPr>
            <m:t>+</m:t>
          </m:r>
          <m:r>
            <m:t>α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mem</m:t>
                  </m:r>
                </m:sup>
              </m:sSubSup>
            </m:e>
          </m:nary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sSubSup>
            <m:e>
              <m:r>
                <m:t>σ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Hamiltonian</w:t>
            </w:r>
          </w:p>
        </w:tc>
        <w:tc>
          <w:tcPr/>
          <w:p>
            <w:pPr>
              <w:pStyle w:val="Compact"/>
            </w:pPr>
            <w:r>
              <w:t xml:space="preserve">Transverse-field Ising with random fixed</w:t>
            </w:r>
            <w:r>
              <w:t xml:space="preserve"> </w:t>
            </w:r>
            <w:r>
              <w:rPr>
                <w:rStyle w:val="VerbatimChar"/>
              </w:rPr>
              <w:t xml:space="preserve">J_ij</w:t>
            </w:r>
          </w:p>
        </w:tc>
        <w:tc>
          <w:tcPr/>
          <w:p>
            <w:pPr>
              <w:pStyle w:val="Compact"/>
            </w:pPr>
            <w:r>
              <w:t xml:space="preserve">Native to QuEra Aquila (Rydberg blockade), D-Wave Advantage, and gate-based Trotterization; the substrate most directly matched to a reservoir’s</w:t>
            </w:r>
            <w:r>
              <w:t xml:space="preserve"> </w:t>
            </w:r>
            <w:r>
              <w:t xml:space="preserve">“disordered Hilbert-space dynamics”</w:t>
            </w:r>
            <w:r>
              <w:t xml:space="preserve"> </w:t>
            </w:r>
            <w:r>
              <w:t xml:space="preserve">property [2, 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encoding</w:t>
            </w:r>
          </w:p>
        </w:tc>
        <w:tc>
          <w:tcPr/>
          <w:p>
            <w:pPr>
              <w:pStyle w:val="Compact"/>
            </w:pPr>
            <w:r>
              <w:t xml:space="preserve">Longitudinal bias</w:t>
            </w:r>
            <w:r>
              <w:t xml:space="preserve"> </w:t>
            </w:r>
            <w:r>
              <w:rPr>
                <w:rStyle w:val="VerbatimChar"/>
              </w:rPr>
              <w:t xml:space="preserve">h_i = α · x_i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n_input</w:t>
            </w:r>
            <w:r>
              <w:t xml:space="preserve"> </w:t>
            </w:r>
            <w:r>
              <w:t xml:space="preserve">qubits; data drives the Z-axis, not the rotation axis</w:t>
            </w:r>
          </w:p>
        </w:tc>
        <w:tc>
          <w:tcPr/>
          <w:p>
            <w:pPr>
              <w:pStyle w:val="Compact"/>
            </w:pPr>
            <w:r>
              <w:t xml:space="preserve">Aligns with annealer-native programming (D-Wave:</w:t>
            </w:r>
            <w:r>
              <w:t xml:space="preserve"> </w:t>
            </w:r>
            <w:r>
              <w:rPr>
                <w:rStyle w:val="VerbatimChar"/>
              </w:rPr>
              <w:t xml:space="preserve">h_i</w:t>
            </w:r>
            <w:r>
              <w:t xml:space="preserve">; Aquila: per-site detuning) and lets a single</w:t>
            </w:r>
            <w:r>
              <w:t xml:space="preserve"> </w:t>
            </w:r>
            <w:r>
              <w:rPr>
                <w:rStyle w:val="VerbatimChar"/>
              </w:rPr>
              <w:t xml:space="preserve">input_scale</w:t>
            </w:r>
            <w:r>
              <w:t xml:space="preserve"> </w:t>
            </w:r>
            <w:r>
              <w:t xml:space="preserve">α tune the dynamical regime (edge of chaos, [4])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|+⟩^n</w:t>
            </w:r>
            <w:r>
              <w:t xml:space="preserve"> </w:t>
            </w:r>
            <w:r>
              <w:t xml:space="preserve">(s=0 ground state of pure transverse field)</w:t>
            </w:r>
          </w:p>
        </w:tc>
        <w:tc>
          <w:tcPr/>
          <w:p>
            <w:pPr>
              <w:pStyle w:val="Compact"/>
            </w:pPr>
            <w:r>
              <w:t xml:space="preserve">Standard adiabatic-quench initial state; provides uniform exploration of computational basis under subsequent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Evolution</w:t>
            </w:r>
          </w:p>
        </w:tc>
        <w:tc>
          <w:tcPr/>
          <w:p>
            <w:pPr>
              <w:pStyle w:val="Compact"/>
            </w:pPr>
            <w:r>
              <w:t xml:space="preserve">Continuous-time unitary</w:t>
            </w:r>
            <w:r>
              <w:t xml:space="preserve"> </w:t>
            </w:r>
            <w:r>
              <w:rPr>
                <w:rStyle w:val="VerbatimChar"/>
              </w:rPr>
              <w:t xml:space="preserve">U(t) = exp(-i H t)</w:t>
            </w:r>
            <w:r>
              <w:t xml:space="preserve"> </w:t>
            </w:r>
            <w:r>
              <w:t xml:space="preserve">for fixed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(no schedule ramp)</w:t>
            </w:r>
          </w:p>
        </w:tc>
        <w:tc>
          <w:tcPr/>
          <w:p>
            <w:pPr>
              <w:pStyle w:val="Compact"/>
            </w:pPr>
            <w:r>
              <w:t xml:space="preserve">Equivalent to a constant mid-anneal snapshot; simpler to characterize than a full anneal schedule and matches the regime where reservoir capacity is highest [4]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Readout observables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⟨σ^z_i⟩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⟨σ^z_i σ^z_j⟩</w:t>
            </w:r>
            <w:r>
              <w:t xml:space="preserve"> </w:t>
            </w:r>
            <w:r>
              <w:t xml:space="preserve">on coupled pairs</w:t>
            </w:r>
          </w:p>
        </w:tc>
        <w:tc>
          <w:tcPr/>
          <w:p>
            <w:pPr>
              <w:pStyle w:val="Compact"/>
            </w:pPr>
            <w:r>
              <w:t xml:space="preserve">Linear and quadratic in the reservoir state; recovers the full Z+ZZ correlation matrix at modest shot cost; hybridized with raw features in the linear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mechanism</w:t>
            </w:r>
          </w:p>
        </w:tc>
        <w:tc>
          <w:tcPr/>
          <w:p>
            <w:pPr>
              <w:pStyle w:val="Compact"/>
            </w:pPr>
            <w:r>
              <w:t xml:space="preserve">Optional classical Z-feedback:</w:t>
            </w:r>
            <w:r>
              <w:t xml:space="preserve"> </w:t>
            </w:r>
            <w:r>
              <w:rPr>
                <w:rStyle w:val="VerbatimChar"/>
              </w:rPr>
              <w:t xml:space="preserve">⟨σ^z_i⟩</w:t>
            </w:r>
            <w:r>
              <w:t xml:space="preserve"> </w:t>
            </w:r>
            <w:r>
              <w:t xml:space="preserve">from sample t-1 enters sample t as additional rotation angle (</w:t>
            </w:r>
            <w:r>
              <w:rPr>
                <w:rStyle w:val="VerbatimChar"/>
              </w:rPr>
              <w:t xml:space="preserve">transform_sequential</w:t>
            </w:r>
            <w:r>
              <w:t xml:space="preserve"> </w:t>
            </w:r>
            <w:r>
              <w:t xml:space="preserve">method)</w:t>
            </w:r>
          </w:p>
        </w:tc>
        <w:tc>
          <w:tcPr/>
          <w:p>
            <w:pPr>
              <w:pStyle w:val="Compact"/>
            </w:pPr>
            <w:r>
              <w:t xml:space="preserve">Approximates the coherent feedback that Quantinuum H-series provides natively; emulates the few-atom feedback QRC of Zhu et al. (2025) [3]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head</w:t>
            </w:r>
          </w:p>
        </w:tc>
        <w:tc>
          <w:tcPr/>
          <w:p>
            <w:pPr>
              <w:pStyle w:val="Compact"/>
            </w:pPr>
            <w:r>
              <w:t xml:space="preserve">Ridge regression on</w:t>
            </w:r>
            <w:r>
              <w:t xml:space="preserve"> </w:t>
            </w:r>
            <w:r>
              <w:rPr>
                <w:rStyle w:val="VerbatimChar"/>
              </w:rPr>
              <w:t xml:space="preserve">[reservoir_features ‖ HAR-RV features ‖ log-HAR features]</w:t>
            </w:r>
            <w:r>
              <w:t xml:space="preserve"> </w:t>
            </w:r>
            <w:r>
              <w:t xml:space="preserve">with TimeSeriesSplit-CV α</w:t>
            </w:r>
          </w:p>
        </w:tc>
        <w:tc>
          <w:tcPr/>
          <w:p>
            <w:pPr>
              <w:pStyle w:val="Compact"/>
            </w:pPr>
            <w:r>
              <w:t xml:space="preserve">Linear part captures the autocorrelation ceiling; quantum part contributes nonlinear interaction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Residual log-vol:</w:t>
            </w:r>
            <w:r>
              <w:t xml:space="preserve"> </w:t>
            </w:r>
            <w:r>
              <w:rPr>
                <w:rStyle w:val="VerbatimChar"/>
              </w:rPr>
              <w:t xml:space="preserve">y = log(RV[t]) − log(RV[t-1])</w:t>
            </w:r>
          </w:p>
        </w:tc>
        <w:tc>
          <w:tcPr/>
          <w:p>
            <w:pPr>
              <w:pStyle w:val="Compact"/>
            </w:pPr>
            <w:r>
              <w:t xml:space="preserve">Predicting 0 corresponds exactly to Persistence; removes the regularize-toward-mean penalty that linear-on-log-vol models otherwise incur</w:t>
            </w:r>
          </w:p>
        </w:tc>
      </w:tr>
    </w:tbl>
    <w:p>
      <w:pPr>
        <w:pStyle w:val="BodyText"/>
      </w:pPr>
      <w:r>
        <w:t xml:space="preserve">A schematic diagram (input → bias encoding → Trotterized Ising evolution →</w:t>
      </w:r>
      <w:r>
        <w:t xml:space="preserve"> </w:t>
      </w:r>
      <w:r>
        <w:t xml:space="preserve">Z, ZZ readout → linear head) is included on page 4.</w:t>
      </w:r>
    </w:p>
    <w:bookmarkEnd w:id="21"/>
    <w:bookmarkStart w:id="22" w:name="theoretical-and-analytical-justification"/>
    <w:p>
      <w:pPr>
        <w:pStyle w:val="Heading2"/>
      </w:pPr>
      <w:r>
        <w:t xml:space="preserve">3. Theoretical and Analytical Justification</w:t>
      </w:r>
    </w:p>
    <w:p>
      <w:pPr>
        <w:pStyle w:val="FirstParagraph"/>
      </w:pPr>
      <w:r>
        <w:rPr>
          <w:b/>
          <w:bCs/>
        </w:rPr>
        <w:t xml:space="preserve">Why this architecture, on this signal.</w:t>
      </w:r>
      <w:r>
        <w:t xml:space="preserve"> </w:t>
      </w:r>
      <w:r>
        <w:t xml:space="preserve">Three properties of the reservoir</w:t>
      </w:r>
      <w:r>
        <w:t xml:space="preserve"> </w:t>
      </w:r>
      <w:r>
        <w:t xml:space="preserve">are exploited: (a)</w:t>
      </w:r>
      <w:r>
        <w:t xml:space="preserve"> </w:t>
      </w:r>
      <w:r>
        <w:rPr>
          <w:b/>
          <w:bCs/>
        </w:rPr>
        <w:t xml:space="preserve">high-dimensional Hilbert-space embedding</w:t>
      </w:r>
      <w:r>
        <w:t xml:space="preserve"> </w:t>
      </w:r>
      <w:r>
        <w:t xml:space="preserve">(2^n basis</w:t>
      </w:r>
      <w:r>
        <w:t xml:space="preserve"> </w:t>
      </w:r>
      <w:r>
        <w:t xml:space="preserve">states for n qubits) generates many nonlinear feature combinations from a</w:t>
      </w:r>
      <w:r>
        <w:t xml:space="preserve"> </w:t>
      </w:r>
      <w:r>
        <w:t xml:space="preserve">21-dim classical input; (b)</w:t>
      </w:r>
      <w:r>
        <w:t xml:space="preserve"> </w:t>
      </w:r>
      <w:r>
        <w:rPr>
          <w:b/>
          <w:bCs/>
        </w:rPr>
        <w:t xml:space="preserve">transverse-field-driven mixing</w:t>
      </w:r>
      <w:r>
        <w:t xml:space="preserve"> </w:t>
      </w:r>
      <w:r>
        <w:t xml:space="preserve">provides</w:t>
      </w:r>
      <w:r>
        <w:t xml:space="preserve"> </w:t>
      </w:r>
      <w:r>
        <w:t xml:space="preserve">non-perturbative, non-trivial dynamics from a separable initial state;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random Ising disorder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J_ij</w:t>
      </w:r>
      <w:r>
        <w:t xml:space="preserve"> </w:t>
      </w:r>
      <w:r>
        <w:t xml:space="preserve">produces a generic dynamical regime</w:t>
      </w:r>
      <w:r>
        <w:t xml:space="preserve"> </w:t>
      </w:r>
      <w:r>
        <w:t xml:space="preserve">without fine-tuning, the canonical reservoir-computing property since</w:t>
      </w:r>
      <w:r>
        <w:t xml:space="preserve"> </w:t>
      </w:r>
      <w:r>
        <w:t xml:space="preserve">Fujii–Nakajima (2017) [5]. The dynamical-phase-transition analysis of</w:t>
      </w:r>
      <w:r>
        <w:t xml:space="preserve"> </w:t>
      </w:r>
      <w:r>
        <w:t xml:space="preserve">Martínez-Peña et al. (2021) [4] predicts an optimal regime where the</w:t>
      </w:r>
      <w:r>
        <w:t xml:space="preserve"> </w:t>
      </w:r>
      <w:r>
        <w:t xml:space="preserve">transverse-field term and the data-modulated longitudinal term are comparable</w:t>
      </w:r>
      <w:r>
        <w:t xml:space="preserve"> </w:t>
      </w:r>
      <w:r>
        <w:t xml:space="preserve">in magnitude — this is the lever our</w:t>
      </w:r>
      <w:r>
        <w:t xml:space="preserve"> </w:t>
      </w:r>
      <w:r>
        <w:rPr>
          <w:rStyle w:val="VerbatimChar"/>
        </w:rPr>
        <w:t xml:space="preserve">input_scale × evolution_time</w:t>
      </w:r>
      <w:r>
        <w:t xml:space="preserve"> </w:t>
      </w:r>
      <w:r>
        <w:t xml:space="preserve">knob</w:t>
      </w:r>
      <w:r>
        <w:t xml:space="preserve"> </w:t>
      </w:r>
      <w:r>
        <w:t xml:space="preserve">directly controls.</w:t>
      </w:r>
    </w:p>
    <w:p>
      <w:pPr>
        <w:pStyle w:val="BodyText"/>
      </w:pPr>
      <w:r>
        <w:rPr>
          <w:b/>
          <w:bCs/>
        </w:rPr>
        <w:t xml:space="preserve">Preliminary 10-qubit prototyping (this submission).</w:t>
      </w:r>
      <w:r>
        <w:t xml:space="preserve"> </w:t>
      </w:r>
      <w:r>
        <w:t xml:space="preserve">We implemented the</w:t>
      </w:r>
      <w:r>
        <w:t xml:space="preserve"> </w:t>
      </w:r>
      <w:r>
        <w:t xml:space="preserve">architecture as a Trotterized statevector simulation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src/qrc/annealer_reservoir.py</w:t>
      </w:r>
      <w:r>
        <w:t xml:space="preserve">) and benchmarked on SPY 2010–2024</w:t>
      </w:r>
      <w:r>
        <w:t xml:space="preserve"> </w:t>
      </w:r>
      <w:r>
        <w:t xml:space="preserve">(yfinance, chronological 80/20 split, 2,984 train / 746 test samples). A</w:t>
      </w:r>
      <w:r>
        <w:t xml:space="preserve"> </w:t>
      </w:r>
      <w:r>
        <w:t xml:space="preserve">14-configuration parameter sweep at 10 qubits (all-to-all, m=3 Trotter</w:t>
      </w:r>
      <w:r>
        <w:t xml:space="preserve"> </w:t>
      </w:r>
      <w:r>
        <w:t xml:space="preserve">steps) located the edge-of-chaos optimum at</w:t>
      </w:r>
      <w:r>
        <w:t xml:space="preserve"> </w:t>
      </w:r>
      <w:r>
        <w:rPr>
          <w:rStyle w:val="VerbatimChar"/>
        </w:rPr>
        <w:t xml:space="preserve">(t=2.0, α=1.0)</w:t>
      </w:r>
      <w:r>
        <w:t xml:space="preserve">. We then ran</w:t>
      </w:r>
      <w:r>
        <w:t xml:space="preserve"> </w:t>
      </w:r>
      <w:r>
        <w:t xml:space="preserve">a 5-seed ensemble at that point against all Track A baselines required by</w:t>
      </w:r>
      <w:r>
        <w:t xml:space="preserve"> </w:t>
      </w:r>
      <w:r>
        <w:t xml:space="preserve">the rubric: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MZ-pvalue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(RV[t-1])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QRC Ising 10q (5-seed)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0.00953 ± 0.00010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0.9794 ± 0.0004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0.00877 ± 0.0001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AR(5)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 gate-based (5q L=2 random)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ESN (200 nodes)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(HAR features)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(1 layer, 32 hidden)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</w:tbl>
    <w:p>
      <w:pPr>
        <w:pStyle w:val="BodyText"/>
      </w:pPr>
      <w:r>
        <w:t xml:space="preserve">The QRC Ising architecture is</w:t>
      </w:r>
      <w:r>
        <w:t xml:space="preserve"> </w:t>
      </w:r>
      <w:r>
        <w:rPr>
          <w:b/>
          <w:bCs/>
        </w:rPr>
        <w:t xml:space="preserve">the strongest learning-based model on</w:t>
      </w:r>
      <w:r>
        <w:rPr>
          <w:b/>
          <w:bCs/>
        </w:rPr>
        <w:t xml:space="preserve"> </w:t>
      </w:r>
      <w:r>
        <w:rPr>
          <w:b/>
          <w:bCs/>
        </w:rPr>
        <w:t xml:space="preserve">this task</w:t>
      </w:r>
      <w:r>
        <w:t xml:space="preserve"> </w:t>
      </w:r>
      <w:r>
        <w:t xml:space="preserve">(beats every NN/RC/linear baseline including LSTM and ESN) and</w:t>
      </w:r>
      <w:r>
        <w:t xml:space="preserve"> </w:t>
      </w:r>
      <w:r>
        <w:t xml:space="preserve">sits within 0.00012 RMSE of Persistence. GARCH(1,1) wins on RMSE because</w:t>
      </w:r>
      <w:r>
        <w:t xml:space="preserve"> </w:t>
      </w:r>
      <w:r>
        <w:t xml:space="preserve">its rolling-window proxy exploits a structural decomposition: 20 of the 21</w:t>
      </w:r>
      <w:r>
        <w:t xml:space="preserve"> </w:t>
      </w:r>
      <w:r>
        <w:t xml:space="preserve">squared returns inside the realized-vol window are</w:t>
      </w:r>
      <w:r>
        <w:t xml:space="preserve"> </w:t>
      </w:r>
      <w:r>
        <w:rPr>
          <w:i/>
          <w:iCs/>
        </w:rPr>
        <w:t xml:space="preserve">known</w:t>
      </w:r>
      <w:r>
        <w:t xml:space="preserve"> </w:t>
      </w:r>
      <w:r>
        <w:t xml:space="preserve">at forecast</w:t>
      </w:r>
      <w:r>
        <w:t xml:space="preserve"> </w:t>
      </w:r>
      <w:r>
        <w:t xml:space="preserve">time; GARCH only needs to forecast the 21st. The QRC has no such structural</w:t>
      </w:r>
      <w:r>
        <w:t xml:space="preserve"> </w:t>
      </w:r>
      <w:r>
        <w:t xml:space="preserve">prior — yet still matches Persistence and beats every parametric ML model.</w:t>
      </w:r>
      <w:r>
        <w:t xml:space="preserve"> </w:t>
      </w:r>
      <w:r>
        <w:t xml:space="preserve">A QRC variant that adopts GARCH’s structural prior (Option A/B; see end of</w:t>
      </w:r>
      <w:r>
        <w:t xml:space="preserve"> </w:t>
      </w:r>
      <w:r>
        <w:t xml:space="preserve">§3 and</w:t>
      </w:r>
      <w:r>
        <w:t xml:space="preserve"> </w:t>
      </w:r>
      <w:r>
        <w:rPr>
          <w:rStyle w:val="VerbatimChar"/>
        </w:rPr>
        <w:t xml:space="preserve">experiments/phase2_garch_hybrid.py</w:t>
      </w:r>
      <w:r>
        <w:t xml:space="preserve">) is reported as the headline</w:t>
      </w:r>
      <w:r>
        <w:t xml:space="preserve"> </w:t>
      </w:r>
      <w:r>
        <w:t xml:space="preserve">hybrid configuration.</w:t>
      </w:r>
    </w:p>
    <w:p>
      <w:pPr>
        <w:pStyle w:val="BodyText"/>
      </w:pPr>
      <w:r>
        <w:rPr>
          <w:b/>
          <w:bCs/>
        </w:rPr>
        <w:t xml:space="preserve">Regime-conditional analysis</w:t>
      </w:r>
      <w:r>
        <w:t xml:space="preserve"> </w:t>
      </w:r>
      <w:r>
        <w:t xml:space="preserve">(test set bucketed into VIX terciles —</w:t>
      </w:r>
      <w:r>
        <w:t xml:space="preserve"> </w:t>
      </w:r>
      <w:r>
        <w:t xml:space="preserve">calm / normal / turbulent; FRED data):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Calm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Normal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Turbulent 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 Ising 10q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0.01351</w:t>
            </w:r>
          </w:p>
        </w:tc>
      </w:tr>
    </w:tbl>
    <w:p>
      <w:pPr>
        <w:pStyle w:val="BodyText"/>
      </w:pPr>
      <w:r>
        <w:t xml:space="preserve">GARCH dominates turbulent regimes by ~20% but is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in calm</w:t>
      </w:r>
      <w:r>
        <w:t xml:space="preserve"> </w:t>
      </w:r>
      <w:r>
        <w:t xml:space="preserve">windows: its parametric form effectively overfits to high-vol periods.</w:t>
      </w:r>
      <w:r>
        <w:t xml:space="preserve"> </w:t>
      </w:r>
      <w:r>
        <w:t xml:space="preserve">The QRC has the most</w:t>
      </w:r>
      <w:r>
        <w:t xml:space="preserve"> </w:t>
      </w:r>
      <w:r>
        <w:rPr>
          <w:i/>
          <w:iCs/>
        </w:rPr>
        <w:t xml:space="preserve">consistent</w:t>
      </w:r>
      <w:r>
        <w:t xml:space="preserve"> </w:t>
      </w:r>
      <w:r>
        <w:t xml:space="preserve">per-regime profile — never best in any</w:t>
      </w:r>
      <w:r>
        <w:t xml:space="preserve"> </w:t>
      </w:r>
      <w:r>
        <w:t xml:space="preserve">single regime, but never last either, and the smallest calm-to-turbulent</w:t>
      </w:r>
      <w:r>
        <w:t xml:space="preserve"> </w:t>
      </w:r>
      <w:r>
        <w:t xml:space="preserve">RMSE ratio of the learning-based models. This is the property risk</w:t>
      </w:r>
      <w:r>
        <w:t xml:space="preserve"> </w:t>
      </w:r>
      <w:r>
        <w:t xml:space="preserve">managers value (forecast quality that doesn’t collapse when conditions</w:t>
      </w:r>
      <w:r>
        <w:t xml:space="preserve"> </w:t>
      </w:r>
      <w:r>
        <w:t xml:space="preserve">change), and it argues for the QRC as a</w:t>
      </w:r>
      <w:r>
        <w:t xml:space="preserve"> </w:t>
      </w:r>
      <w:r>
        <w:rPr>
          <w:i/>
          <w:iCs/>
        </w:rPr>
        <w:t xml:space="preserve">complement</w:t>
      </w:r>
      <w:r>
        <w:t xml:space="preserve"> </w:t>
      </w:r>
      <w:r>
        <w:t xml:space="preserve">to GARCH rather</w:t>
      </w:r>
      <w:r>
        <w:t xml:space="preserve"> </w:t>
      </w:r>
      <w:r>
        <w:t xml:space="preserve">than a replacement.</w:t>
      </w:r>
    </w:p>
    <w:p>
      <w:pPr>
        <w:pStyle w:val="BodyText"/>
      </w:pPr>
      <w:r>
        <w:rPr>
          <w:b/>
          <w:bCs/>
        </w:rPr>
        <w:t xml:space="preserve">Architecture diagram and parameter heatmap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figures/architecture.png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results/dwave_sweep_heatmap.png</w:t>
      </w:r>
      <w:r>
        <w:t xml:space="preserve"> </w:t>
      </w:r>
      <w:r>
        <w:t xml:space="preserve">respectively (referenced inline; both</w:t>
      </w:r>
      <w:r>
        <w:t xml:space="preserve"> </w:t>
      </w:r>
      <w:r>
        <w:t xml:space="preserve">included as Figure 1 and Figure 2 of this submission).</w:t>
      </w:r>
    </w:p>
    <w:p>
      <w:pPr>
        <w:pStyle w:val="BodyText"/>
      </w:pPr>
      <w:r>
        <w:rPr>
          <w:b/>
          <w:bCs/>
        </w:rPr>
        <w:t xml:space="preserve">Headline result — QRC + GARCH hybrid.</w:t>
      </w:r>
      <w:r>
        <w:t xml:space="preserve"> </w:t>
      </w:r>
      <w:r>
        <w:t xml:space="preserve">Importing GARCH’s structural prior</w:t>
      </w:r>
      <w:r>
        <w:t xml:space="preserve"> </w:t>
      </w:r>
      <w:r>
        <w:t xml:space="preserve">into the QRC pipeline (either as an exogenous feature or by retargeting the</w:t>
      </w:r>
      <w:r>
        <w:t xml:space="preserve"> </w:t>
      </w:r>
      <w:r>
        <w:t xml:space="preserve">loss to the GARCH residual) produces the strongest model of the entire</w:t>
      </w:r>
      <w:r>
        <w:t xml:space="preserve"> </w:t>
      </w:r>
      <w:r>
        <w:t xml:space="preserve">study, beating GARCH itself: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(3-seed ensemble where applicable)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QRC on GARCH-residual 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 + GARCH-feature (Persistence residual target)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GARCH(1,1) standalone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+ GARCH-feature (no QRC)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on GARCH-residual (no QRC)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0.00668</w:t>
            </w:r>
          </w:p>
        </w:tc>
      </w:tr>
    </w:tbl>
    <w:p>
      <w:pPr>
        <w:pStyle w:val="BodyText"/>
      </w:pPr>
      <w:r>
        <w:t xml:space="preserve">Two diagnostics from this table: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Ridge with GARCH augmentation does not beat GARCH</w:t>
      </w:r>
      <w:r>
        <w:t xml:space="preserve"> </w:t>
      </w:r>
      <w:r>
        <w:t xml:space="preserve">(0.00801–0.00805 vs</w:t>
      </w:r>
      <w:r>
        <w:t xml:space="preserve"> </w:t>
      </w:r>
      <w:r>
        <w:t xml:space="preserve">0.00795). The linear readout, given the GARCH forecast, can only recover</w:t>
      </w:r>
      <w:r>
        <w:t xml:space="preserve"> </w:t>
      </w:r>
      <w:r>
        <w:t xml:space="preserve">GARCH’s own performance.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Adding the QRC reservoir on top of the same augmentation drops RMSE</w:t>
      </w:r>
      <w:r>
        <w:rPr>
          <w:b/>
          <w:bCs/>
        </w:rPr>
        <w:t xml:space="preserve"> </w:t>
      </w:r>
      <w:r>
        <w:rPr>
          <w:b/>
          <w:bCs/>
        </w:rPr>
        <w:t xml:space="preserve">by another ~2%</w:t>
      </w:r>
      <w:r>
        <w:t xml:space="preserve"> </w:t>
      </w:r>
      <w:r>
        <w:t xml:space="preserve">and QLIKE by ~3–4%. The QRC’s nonlinear features carry</w:t>
      </w:r>
      <w:r>
        <w:t xml:space="preserve"> </w:t>
      </w:r>
      <w:r>
        <w:t xml:space="preserve">signal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to GARCH’s parametric form — a clean quantum-classical</w:t>
      </w:r>
      <w:r>
        <w:t xml:space="preserve"> </w:t>
      </w:r>
      <w:r>
        <w:t xml:space="preserve">hybrid: classical model captures the structural part, quantum reservoir</w:t>
      </w:r>
      <w:r>
        <w:t xml:space="preserve"> </w:t>
      </w:r>
      <w:r>
        <w:t xml:space="preserve">captures the residual nonlinearity.</w:t>
      </w:r>
    </w:p>
    <w:p>
      <w:pPr>
        <w:pStyle w:val="FirstParagraph"/>
      </w:pPr>
      <w:r>
        <w:t xml:space="preserve">This is the first configuration in the study to beat GARCH(1,1) on all</w:t>
      </w:r>
      <w:r>
        <w:t xml:space="preserve"> </w:t>
      </w:r>
      <w:r>
        <w:t xml:space="preserve">three required Track A metrics (RMSE, R², QLIKE) simultaneously.</w:t>
      </w:r>
    </w:p>
    <w:bookmarkEnd w:id="22"/>
    <w:bookmarkStart w:id="23" w:name="data-modeling-strategy"/>
    <w:p>
      <w:pPr>
        <w:pStyle w:val="Heading2"/>
      </w:pPr>
      <w:r>
        <w:t xml:space="preserve">4. Data Modeling Strategy</w:t>
      </w:r>
    </w:p>
    <w:p>
      <w:pPr>
        <w:pStyle w:val="FirstParagraph"/>
      </w:pPr>
      <w:r>
        <w:rPr>
          <w:b/>
          <w:bCs/>
        </w:rPr>
        <w:t xml:space="preserve">Dataset.</w:t>
      </w:r>
      <w:r>
        <w:t xml:space="preserve"> </w:t>
      </w:r>
      <w:r>
        <w:t xml:space="preserve">SPY daily OHLCV from yfinance (2010-01-01 to 2024-12-31), with</w:t>
      </w:r>
      <w:r>
        <w:t xml:space="preserve"> </w:t>
      </w:r>
      <w:r>
        <w:t xml:space="preserve">fallback to a synthetic GARCH(1,1) process when the API is unavailable.</w:t>
      </w:r>
      <w:r>
        <w:t xml:space="preserve"> </w:t>
      </w:r>
      <w:r>
        <w:t xml:space="preserve">Total: 3,750 trading days. Realized volatility computed as 21-day rolling</w:t>
      </w:r>
      <w:r>
        <w:t xml:space="preserve"> </w:t>
      </w:r>
      <w:r>
        <w:t xml:space="preserve">std × √252.</w:t>
      </w:r>
    </w:p>
    <w:p>
      <w:pPr>
        <w:pStyle w:val="BodyText"/>
      </w:pPr>
      <w:r>
        <w:rPr>
          <w:b/>
          <w:bCs/>
        </w:rPr>
        <w:t xml:space="preserve">Features (21 total,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src/data/loaders.py::load_financial_data_v2</w:t>
      </w:r>
      <w:r>
        <w:rPr>
          <w:b/>
          <w:bCs/>
        </w:rPr>
        <w:t xml:space="preserve">):</w:t>
      </w:r>
      <w:r>
        <w:t xml:space="preserve"> </w:t>
      </w:r>
      <w:r>
        <w:t xml:space="preserve">delay-embedded log-returns (5 lags), |returns| (5 lags), returns² (5 lags),</w:t>
      </w:r>
      <w:r>
        <w:t xml:space="preserve"> </w:t>
      </w:r>
      <w:r>
        <w:t xml:space="preserve">HAR-RV daily/weekly/monthly means (3), and log-HAR (3). The HAR component</w:t>
      </w:r>
      <w:r>
        <w:t xml:space="preserve"> </w:t>
      </w:r>
      <w:r>
        <w:t xml:space="preserve">follows Corsi (2009) and supplies the dominant predictive signal; the return</w:t>
      </w:r>
      <w:r>
        <w:t xml:space="preserve"> </w:t>
      </w:r>
      <w:r>
        <w:t xml:space="preserve">moments supply higher-frequency information.</w:t>
      </w:r>
    </w:p>
    <w:p>
      <w:pPr>
        <w:pStyle w:val="BodyText"/>
      </w:pPr>
      <w:r>
        <w:rPr>
          <w:b/>
          <w:bCs/>
        </w:rPr>
        <w:t xml:space="preserve">Split.</w:t>
      </w:r>
      <w:r>
        <w:t xml:space="preserve"> </w:t>
      </w:r>
      <w:r>
        <w:t xml:space="preserve">Chronological 80/20 (no shuffle). Within train, a 5-fold</w:t>
      </w:r>
      <w:r>
        <w:t xml:space="preserve"> </w:t>
      </w:r>
      <w:r>
        <w:t xml:space="preserve">TimeSeriesSplit cross-validation selects the Ridge readout’s regularisation</w:t>
      </w:r>
      <w:r>
        <w:t xml:space="preserve"> </w:t>
      </w:r>
      <w:r>
        <w:t xml:space="preserve">parameter from {10^-3, …, 10^3}.</w:t>
      </w:r>
    </w:p>
    <w:p>
      <w:pPr>
        <w:pStyle w:val="BodyText"/>
      </w:pPr>
      <w:r>
        <w:rPr>
          <w:b/>
          <w:bCs/>
        </w:rPr>
        <w:t xml:space="preserve">Target.</w:t>
      </w:r>
      <w:r>
        <w:t xml:space="preserve"> </w:t>
      </w:r>
      <w:r>
        <w:t xml:space="preserve">Residual log-vol</w:t>
      </w:r>
      <w:r>
        <w:t xml:space="preserve"> </w:t>
      </w:r>
      <w:r>
        <w:rPr>
          <w:rStyle w:val="VerbatimChar"/>
        </w:rPr>
        <w:t xml:space="preserve">y = log(RV[t]) - log(RV[t-1])</w:t>
      </w:r>
      <w:r>
        <w:t xml:space="preserve">. Models trained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</w:t>
      </w:r>
      <w:r>
        <w:t xml:space="preserve">; predictions inverted to RV-scale via</w:t>
      </w:r>
      <w:r>
        <w:t xml:space="preserve"> </w:t>
      </w:r>
      <w:r>
        <w:rPr>
          <w:rStyle w:val="VerbatimChar"/>
        </w:rPr>
        <w:t xml:space="preserve">RV[t-1] · exp(ŷ)</w:t>
      </w:r>
      <w:r>
        <w:t xml:space="preserve"> </w:t>
      </w:r>
      <w:r>
        <w:t xml:space="preserve">before</w:t>
      </w:r>
      <w:r>
        <w:t xml:space="preserve"> </w:t>
      </w:r>
      <w:r>
        <w:t xml:space="preserve">metrics. This parameterisation makes Persistence the trivial</w:t>
      </w:r>
      <w:r>
        <w:t xml:space="preserve"> </w:t>
      </w:r>
      <w:r>
        <w:rPr>
          <w:rStyle w:val="VerbatimChar"/>
        </w:rPr>
        <w:t xml:space="preserve">ŷ = 0</w:t>
      </w:r>
      <w:r>
        <w:t xml:space="preserve"> </w:t>
      </w:r>
      <w:r>
        <w:t xml:space="preserve">prediction, which we found necessary to prevent Ridge from shrinking</w:t>
      </w:r>
      <w:r>
        <w:t xml:space="preserve"> </w:t>
      </w:r>
      <w:r>
        <w:t xml:space="preserve">predictions toward the unconditional mean.</w:t>
      </w:r>
    </w:p>
    <w:p>
      <w:pPr>
        <w:pStyle w:val="BodyText"/>
      </w:pPr>
      <w:r>
        <w:rPr>
          <w:b/>
          <w:bCs/>
        </w:rPr>
        <w:t xml:space="preserve">Baselines.</w:t>
      </w:r>
      <w:r>
        <w:t xml:space="preserve"> </w:t>
      </w:r>
      <w:r>
        <w:t xml:space="preserve">Persistence, AR(5), Ridge, ESN (200 neurons, classical</w:t>
      </w:r>
      <w:r>
        <w:t xml:space="preserve"> </w:t>
      </w:r>
      <w:r>
        <w:t xml:space="preserve">analog), gate-based QRC (Phase 1 reservoir).</w:t>
      </w:r>
      <w:r>
        <w:t xml:space="preserve"> </w:t>
      </w:r>
      <w:r>
        <w:rPr>
          <w:b/>
          <w:bCs/>
        </w:rPr>
        <w:t xml:space="preserve">Phase-3 additions: GARCH(1,1)</w:t>
      </w:r>
      <w:r>
        <w:rPr>
          <w:b/>
          <w:bCs/>
        </w:rPr>
        <w:t xml:space="preserve"> </w:t>
      </w:r>
      <w:r>
        <w:rPr>
          <w:b/>
          <w:bCs/>
        </w:rPr>
        <w:t xml:space="preserve">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arch</w:t>
      </w:r>
      <w:r>
        <w:rPr>
          <w:b/>
          <w:bCs/>
        </w:rPr>
        <w:t xml:space="preserve"> </w:t>
      </w:r>
      <w:r>
        <w:rPr>
          <w:b/>
          <w:bCs/>
        </w:rPr>
        <w:t xml:space="preserve">library, and LSTM via PyTorch</w:t>
      </w:r>
      <w:r>
        <w:t xml:space="preserve"> </w:t>
      </w:r>
      <w:r>
        <w:t xml:space="preserve">— required by the rubric, not</w:t>
      </w:r>
      <w:r>
        <w:t xml:space="preserve"> </w:t>
      </w:r>
      <w:r>
        <w:t xml:space="preserve">yet implemented (declared gap).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RMSE, MAE, R², NMSE on the RV scale.</w:t>
      </w:r>
      <w:r>
        <w:t xml:space="preserve"> </w:t>
      </w:r>
      <w:r>
        <w:rPr>
          <w:b/>
          <w:bCs/>
        </w:rPr>
        <w:t xml:space="preserve">Phase-3 additions:</w:t>
      </w:r>
      <w:r>
        <w:rPr>
          <w:b/>
          <w:bCs/>
        </w:rPr>
        <w:t xml:space="preserve"> </w:t>
      </w:r>
      <w:r>
        <w:rPr>
          <w:b/>
          <w:bCs/>
        </w:rPr>
        <w:t xml:space="preserve">QLIKE (Patton 2011), Mincer–Zarnowitz unbiasedness regression</w:t>
      </w:r>
      <w:r>
        <w:t xml:space="preserve">, and</w:t>
      </w:r>
      <w:r>
        <w:t xml:space="preserve"> </w:t>
      </w:r>
      <w:r>
        <w:t xml:space="preserve">regime-conditional RMSE bucketed by VIX percentile.</w:t>
      </w:r>
    </w:p>
    <w:bookmarkEnd w:id="23"/>
    <w:bookmarkStart w:id="24" w:name="X9bf1c5ea47837a5559edfd58690476bddb09359"/>
    <w:p>
      <w:pPr>
        <w:pStyle w:val="Heading2"/>
      </w:pPr>
      <w:r>
        <w:t xml:space="preserve">5. Quantum Platform Justification and Resources</w:t>
      </w:r>
    </w:p>
    <w:p>
      <w:pPr>
        <w:pStyle w:val="FirstParagraph"/>
      </w:pPr>
      <w:r>
        <w:rPr>
          <w:b/>
          <w:bCs/>
        </w:rPr>
        <w:t xml:space="preserve">Primary target: QuEra Aquila</w:t>
      </w:r>
      <w:r>
        <w:t xml:space="preserve"> </w:t>
      </w:r>
      <w:r>
        <w:t xml:space="preserve">via qBraid’s Bloqade SDK. Rationale:</w:t>
      </w:r>
      <w:r>
        <w:t xml:space="preserve"> </w:t>
      </w:r>
      <w:r>
        <w:t xml:space="preserve">(a) Aquila’s native Hamiltonian is a transverse-field Rydberg model with</w:t>
      </w:r>
      <w:r>
        <w:t xml:space="preserve"> </w:t>
      </w:r>
      <w:r>
        <w:t xml:space="preserve">form ≈</w:t>
      </w:r>
      <w:r>
        <w:t xml:space="preserve"> </w:t>
      </w:r>
      <w:r>
        <w:rPr>
          <w:rStyle w:val="VerbatimChar"/>
        </w:rPr>
        <w:t xml:space="preserve">Ω σ^x + Δ σ^z + V n_i n_j</w:t>
      </w:r>
      <w:r>
        <w:t xml:space="preserve">, structurally close to our reservoir;</w:t>
      </w:r>
      <w:r>
        <w:t xml:space="preserve"> </w:t>
      </w:r>
      <w:r>
        <w:t xml:space="preserve">(b) up to 256 qubits — the analog scaling demonstrated by Kornjača et al.</w:t>
      </w:r>
      <w:r>
        <w:t xml:space="preserve"> </w:t>
      </w:r>
      <w:r>
        <w:t xml:space="preserve">(2024) at 108 qubits [2]; (c) Bloqade and the QuEra QRC-tutorials are</w:t>
      </w:r>
      <w:r>
        <w:t xml:space="preserve"> </w:t>
      </w:r>
      <w:r>
        <w:t xml:space="preserve">explicitly endorsed in §3 of the challenge description.</w:t>
      </w:r>
    </w:p>
    <w:p>
      <w:pPr>
        <w:pStyle w:val="BodyText"/>
      </w:pPr>
      <w:r>
        <w:rPr>
          <w:b/>
          <w:bCs/>
        </w:rPr>
        <w:t xml:space="preserve">Alternative target: D-Wave Advantage</w:t>
      </w:r>
      <w:r>
        <w:t xml:space="preserve"> </w:t>
      </w:r>
      <w:r>
        <w:t xml:space="preserve">via the Braket SDK. Rationale:</w:t>
      </w:r>
      <w:r>
        <w:t xml:space="preserve"> </w:t>
      </w:r>
      <w:r>
        <w:t xml:space="preserve">5,000+ qubits with programmable</w:t>
      </w:r>
      <w:r>
        <w:t xml:space="preserve"> </w:t>
      </w:r>
      <w:r>
        <w:rPr>
          <w:rStyle w:val="VerbatimChar"/>
        </w:rPr>
        <w:t xml:space="preserve">h_i</w:t>
      </w:r>
      <w:r>
        <w:t xml:space="preserve">/</w:t>
      </w:r>
      <w:r>
        <w:rPr>
          <w:rStyle w:val="VerbatimChar"/>
        </w:rPr>
        <w:t xml:space="preserve">J_ij</w:t>
      </w:r>
      <w:r>
        <w:t xml:space="preserve">, exactly the parameterisation</w:t>
      </w:r>
      <w:r>
        <w:t xml:space="preserve"> </w:t>
      </w:r>
      <w:r>
        <w:t xml:space="preserve">our architecture uses; the Sakurai et al. (2026) demonstration of annealer</w:t>
      </w:r>
      <w:r>
        <w:t xml:space="preserve"> </w:t>
      </w:r>
      <w:r>
        <w:t xml:space="preserve">dynamics as ML feature map [8] provides a direct precedent; our internal</w:t>
      </w:r>
      <w:r>
        <w:t xml:space="preserve"> </w:t>
      </w:r>
      <w:r>
        <w:t xml:space="preserve">exploration document (</w:t>
      </w:r>
      <w:r>
        <w:rPr>
          <w:rStyle w:val="VerbatimChar"/>
        </w:rPr>
        <w:t xml:space="preserve">docs/dwave_qrc_exploration.md</w:t>
      </w:r>
      <w:r>
        <w:t xml:space="preserve">) details this path.</w:t>
      </w:r>
      <w:r>
        <w:t xml:space="preserve"> </w:t>
      </w:r>
      <w:r>
        <w:t xml:space="preserve">This is preferred if Aquila access is queue-constrained.</w:t>
      </w:r>
    </w:p>
    <w:p>
      <w:pPr>
        <w:pStyle w:val="BodyText"/>
      </w:pPr>
      <w:r>
        <w:rPr>
          <w:b/>
          <w:bCs/>
        </w:rPr>
        <w:t xml:space="preserve">Backup: IBM Heron</w:t>
      </w:r>
      <w:r>
        <w:t xml:space="preserve"> </w:t>
      </w:r>
      <w:r>
        <w:t xml:space="preserve">via Qiskit Runtime. Rationale: lowest engineering</w:t>
      </w:r>
      <w:r>
        <w:t xml:space="preserve"> </w:t>
      </w:r>
      <w:r>
        <w:t xml:space="preserve">overhead from our existing Qiskit-Trotter prototype; 5–10-qubit gate-based</w:t>
      </w:r>
      <w:r>
        <w:t xml:space="preserve"> </w:t>
      </w:r>
      <w:r>
        <w:t xml:space="preserve">configs already characterized [§3]; Open-Plan quota (10 min QPU/month)</w:t>
      </w:r>
      <w:r>
        <w:t xml:space="preserve"> </w:t>
      </w:r>
      <w:r>
        <w:t xml:space="preserve">permits ~16 full hardware test-set runs per month.</w:t>
      </w:r>
    </w:p>
    <w:p>
      <w:pPr>
        <w:pStyle w:val="BodyText"/>
      </w:pPr>
      <w:r>
        <w:rPr>
          <w:b/>
          <w:bCs/>
        </w:rPr>
        <w:t xml:space="preserve">Phase-3 resource budget.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Phase-3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Shots/sample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QPU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Aquila (primary)</w:t>
            </w:r>
          </w:p>
        </w:tc>
        <w:tc>
          <w:tcPr/>
          <w:p>
            <w:pPr>
              <w:pStyle w:val="Compact"/>
            </w:pPr>
            <w:r>
              <w:t xml:space="preserve">Test set + ablations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analog (≤ 5 µs evolution)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 s/run; 8 runs/month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Advantage (alt.)</w:t>
            </w:r>
          </w:p>
        </w:tc>
        <w:tc>
          <w:tcPr/>
          <w:p>
            <w:pPr>
              <w:pStyle w:val="Compact"/>
            </w:pPr>
            <w:r>
              <w:t xml:space="preserve">Test set + scaling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100–500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continuous anneal (20 µs)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 s/run; 3 runs/month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Heron (backup)</w:t>
            </w:r>
          </w:p>
        </w:tc>
        <w:tc>
          <w:tcPr/>
          <w:p>
            <w:pPr>
              <w:pStyle w:val="Compact"/>
            </w:pPr>
            <w:r>
              <w:t xml:space="preserve">5q gate-based test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 ~25 (L=2)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 s/run; ~16 runs/month free</w:t>
            </w:r>
          </w:p>
        </w:tc>
      </w:tr>
    </w:tbl>
    <w:p>
      <w:pPr>
        <w:pStyle w:val="BodyText"/>
      </w:pPr>
      <w:r>
        <w:t xml:space="preserve">Hybrid strategy across all platforms:</w:t>
      </w:r>
      <w:r>
        <w:t xml:space="preserve"> </w:t>
      </w:r>
      <w:r>
        <w:rPr>
          <w:b/>
          <w:bCs/>
        </w:rPr>
        <w:t xml:space="preserve">train the Ridge readout on noiseless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 features; run only the test set on hardware</w:t>
      </w:r>
      <w:r>
        <w:t xml:space="preserve">. The HW-vs-sim</w:t>
      </w:r>
      <w:r>
        <w:t xml:space="preserve"> </w:t>
      </w:r>
      <w:r>
        <w:t xml:space="preserve">RMSE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hardware story and keeps QPU cost bounded. Error mitigation:</w:t>
      </w:r>
      <w:r>
        <w:t xml:space="preserve"> </w:t>
      </w:r>
      <w:r>
        <w:t xml:space="preserve">ZNE via Mitiq (Heron only); for Aquila/Advantage, the analog dynamics is</w:t>
      </w:r>
      <w:r>
        <w:t xml:space="preserve"> </w:t>
      </w:r>
      <w:r>
        <w:t xml:space="preserve">not ZNE-amenable, so we report raw shot-noise estimates with per-config</w:t>
      </w:r>
      <w:r>
        <w:t xml:space="preserve"> </w:t>
      </w:r>
      <w:r>
        <w:t xml:space="preserve">seed ensembles for error bars.</w:t>
      </w:r>
    </w:p>
    <w:bookmarkEnd w:id="24"/>
    <w:bookmarkStart w:id="25" w:name="stakeholder-impact-and-phase-3-plan"/>
    <w:p>
      <w:pPr>
        <w:pStyle w:val="Heading2"/>
      </w:pPr>
      <w:r>
        <w:t xml:space="preserve">6. Stakeholder Impact and Phase 3 Plan</w:t>
      </w:r>
    </w:p>
    <w:p>
      <w:pPr>
        <w:pStyle w:val="FirstParagraph"/>
      </w:pPr>
      <w:r>
        <w:rPr>
          <w:b/>
          <w:bCs/>
        </w:rPr>
        <w:t xml:space="preserve">Stakeholders.</w:t>
      </w:r>
      <w:r>
        <w:t xml:space="preserve"> </w:t>
      </w:r>
      <w:r>
        <w:t xml:space="preserve">Volatility forecasts at the daily horizon are consumed</w:t>
      </w:r>
      <w:r>
        <w:t xml:space="preserve"> </w:t>
      </w:r>
      <w:r>
        <w:t xml:space="preserve">by (i) trading desks for option-delta hedging and gamma exposure</w:t>
      </w:r>
      <w:r>
        <w:t xml:space="preserve"> </w:t>
      </w:r>
      <w:r>
        <w:t xml:space="preserve">management, (ii) risk managers for VaR / expected-shortfall calculation</w:t>
      </w:r>
      <w:r>
        <w:t xml:space="preserve"> </w:t>
      </w:r>
      <w:r>
        <w:t xml:space="preserve">(both inputs are RV-based), and (iii) market makers for liquidity-provision</w:t>
      </w:r>
      <w:r>
        <w:t xml:space="preserve"> </w:t>
      </w:r>
      <w:r>
        <w:t xml:space="preserve">spread setting. The product of this work is a</w:t>
      </w:r>
      <w:r>
        <w:t xml:space="preserve"> </w:t>
      </w:r>
      <w:r>
        <w:rPr>
          <w:i/>
          <w:iCs/>
        </w:rPr>
        <w:t xml:space="preserve">regime-aware</w:t>
      </w:r>
      <w:r>
        <w:t xml:space="preserve"> </w:t>
      </w:r>
      <w:r>
        <w:t xml:space="preserve">volatility</w:t>
      </w:r>
      <w:r>
        <w:t xml:space="preserve"> </w:t>
      </w:r>
      <w:r>
        <w:t xml:space="preserve">model: not necessarily a lower-RMSE forecast, but one whose error structure</w:t>
      </w:r>
      <w:r>
        <w:t xml:space="preserve"> </w:t>
      </w:r>
      <w:r>
        <w:t xml:space="preserve">is interpretable across calm/turbulent regimes, which directly addresses</w:t>
      </w:r>
      <w:r>
        <w:t xml:space="preserve"> </w:t>
      </w:r>
      <w:r>
        <w:t xml:space="preserve">stress-testing scenarios — the use case JonesTrading flagged.</w:t>
      </w:r>
    </w:p>
    <w:p>
      <w:pPr>
        <w:pStyle w:val="BodyText"/>
      </w:pPr>
      <w:r>
        <w:rPr>
          <w:b/>
          <w:bCs/>
        </w:rPr>
        <w:t xml:space="preserve">Phase 3 milestone plan (10 weeks post-finalist notification).</w:t>
      </w:r>
      <w:r>
        <w:t xml:space="preserve"> </w:t>
      </w:r>
      <w:r>
        <w:rPr>
          <w:i/>
          <w:iCs/>
        </w:rPr>
        <w:t xml:space="preserve">Weeks 1–2:</w:t>
      </w:r>
      <w:r>
        <w:t xml:space="preserve"> </w:t>
      </w:r>
      <w:r>
        <w:t xml:space="preserve">QuEra Aquila access setup + reproduce simulator results on</w:t>
      </w:r>
      <w:r>
        <w:t xml:space="preserve"> </w:t>
      </w:r>
      <w:r>
        <w:t xml:space="preserve">hardware at 30 qubits, single config.</w:t>
      </w:r>
      <w:r>
        <w:t xml:space="preserve"> </w:t>
      </w:r>
      <w:r>
        <w:rPr>
          <w:i/>
          <w:iCs/>
        </w:rPr>
        <w:t xml:space="preserve">Weeks 3–4:</w:t>
      </w:r>
      <w:r>
        <w:t xml:space="preserve"> </w:t>
      </w:r>
      <w:r>
        <w:t xml:space="preserve">full simulator ablation</w:t>
      </w:r>
      <w:r>
        <w:t xml:space="preserve"> </w:t>
      </w:r>
      <w:r>
        <w:t xml:space="preserve">(seeds, qubit counts up to 256 via Aquila tensor-network sim) + add GARCH,</w:t>
      </w:r>
      <w:r>
        <w:t xml:space="preserve"> </w:t>
      </w:r>
      <w:r>
        <w:t xml:space="preserve">LSTM baselines and QLIKE/MZ metrics.</w:t>
      </w:r>
      <w:r>
        <w:t xml:space="preserve"> </w:t>
      </w:r>
      <w:r>
        <w:rPr>
          <w:i/>
          <w:iCs/>
        </w:rPr>
        <w:t xml:space="preserve">Weeks 5–6:</w:t>
      </w:r>
      <w:r>
        <w:t xml:space="preserve"> </w:t>
      </w:r>
      <w:r>
        <w:t xml:space="preserve">Aquila hardware sweep</w:t>
      </w:r>
      <w:r>
        <w:t xml:space="preserve"> </w:t>
      </w:r>
      <w:r>
        <w:t xml:space="preserve">(qubit count × evolution time × shots), QPU-vs-sim gap analysis.</w:t>
      </w:r>
      <w:r>
        <w:t xml:space="preserve"> </w:t>
      </w:r>
      <w:r>
        <w:rPr>
          <w:i/>
          <w:iCs/>
        </w:rPr>
        <w:t xml:space="preserve">Weeks 7–8:</w:t>
      </w:r>
      <w:r>
        <w:t xml:space="preserve"> </w:t>
      </w:r>
      <w:r>
        <w:t xml:space="preserve">regime-conditional metrics; bucket test windows by VIX</w:t>
      </w:r>
      <w:r>
        <w:t xml:space="preserve"> </w:t>
      </w:r>
      <w:r>
        <w:t xml:space="preserve">percentile and report per-bucket QLIKE.</w:t>
      </w:r>
      <w:r>
        <w:t xml:space="preserve"> </w:t>
      </w:r>
      <w:r>
        <w:rPr>
          <w:i/>
          <w:iCs/>
        </w:rPr>
        <w:t xml:space="preserve">Weeks 9–10:</w:t>
      </w:r>
      <w:r>
        <w:t xml:space="preserve"> </w:t>
      </w:r>
      <w:r>
        <w:t xml:space="preserve">write Phase-3 5-page</w:t>
      </w:r>
      <w:r>
        <w:t xml:space="preserve"> </w:t>
      </w:r>
      <w:r>
        <w:t xml:space="preserve">paper, agentic reproducibility package, qBraid Skill submission.</w:t>
      </w:r>
    </w:p>
    <w:p>
      <w:pPr>
        <w:pStyle w:val="BodyText"/>
      </w:pPr>
      <w:r>
        <w:rPr>
          <w:b/>
          <w:bCs/>
        </w:rPr>
        <w:t xml:space="preserve">Fallback options.</w:t>
      </w:r>
      <w:r>
        <w:t xml:space="preserve"> </w:t>
      </w:r>
      <w:r>
        <w:t xml:space="preserve">If Aquila queue exceeds 4 weeks, pivot to D-Wave</w:t>
      </w:r>
      <w:r>
        <w:t xml:space="preserve"> </w:t>
      </w:r>
      <w:r>
        <w:t xml:space="preserve">Advantage (free 1 min/month Leap tier, plus paid-as-needed) using the</w:t>
      </w:r>
      <w:r>
        <w:t xml:space="preserve"> </w:t>
      </w:r>
      <w:r>
        <w:t xml:space="preserve">identical</w:t>
      </w:r>
      <w:r>
        <w:t xml:space="preserve"> </w:t>
      </w:r>
      <w:r>
        <w:rPr>
          <w:rStyle w:val="VerbatimChar"/>
        </w:rPr>
        <w:t xml:space="preserve">h_i</w:t>
      </w:r>
      <w:r>
        <w:t xml:space="preserve">/</w:t>
      </w:r>
      <w:r>
        <w:rPr>
          <w:rStyle w:val="VerbatimChar"/>
        </w:rPr>
        <w:t xml:space="preserve">J_ij</w:t>
      </w:r>
      <w:r>
        <w:t xml:space="preserve"> </w:t>
      </w:r>
      <w:r>
        <w:t xml:space="preserve">programming. If both analog platforms are</w:t>
      </w:r>
      <w:r>
        <w:t xml:space="preserve"> </w:t>
      </w:r>
      <w:r>
        <w:t xml:space="preserve">unavailable, fall back to IBM Heron Trotterized gate-based circuit (5–10</w:t>
      </w:r>
      <w:r>
        <w:t xml:space="preserve"> </w:t>
      </w:r>
      <w:r>
        <w:t xml:space="preserve">qubits) — already validated in Phase 2.</w:t>
      </w:r>
    </w:p>
    <w:p>
      <w:pPr>
        <w:pStyle w:val="BodyText"/>
      </w:pPr>
      <w:r>
        <w:rPr>
          <w:b/>
          <w:bCs/>
        </w:rPr>
        <w:t xml:space="preserve">Disclosure (per challenge rules).</w:t>
      </w:r>
      <w:r>
        <w:t xml:space="preserve"> </w:t>
      </w:r>
      <w:r>
        <w:t xml:space="preserve">This work was developed with</w:t>
      </w:r>
      <w:r>
        <w:t xml:space="preserve"> </w:t>
      </w:r>
      <w:r>
        <w:t xml:space="preserve">significant LLM assistance for code drafting and writing. All experimental</w:t>
      </w:r>
      <w:r>
        <w:t xml:space="preserve"> </w:t>
      </w:r>
      <w:r>
        <w:t xml:space="preserve">results, architectural choices, and analyses are the team’s own; LLM</w:t>
      </w:r>
      <w:r>
        <w:t xml:space="preserve"> </w:t>
      </w:r>
      <w:r>
        <w:t xml:space="preserve">contributions are version-controlled at github.com/GrigoVyd/GIC26_QRC.</w:t>
      </w:r>
    </w:p>
    <w:p>
      <w:r>
        <w:pict>
          <v:rect style="width:0;height:1.5pt" o:hralign="center" o:hrstd="t" o:hr="t"/>
        </w:pict>
      </w:r>
    </w:p>
    <w:bookmarkEnd w:id="25"/>
    <w:bookmarkStart w:id="26" w:name="Xee90a1823e7f543ab612d4b7943029f748158c5"/>
    <w:p>
      <w:pPr>
        <w:pStyle w:val="Heading2"/>
      </w:pPr>
      <w:r>
        <w:t xml:space="preserve">References (separate page, does not count toward 3-page limit)</w:t>
      </w:r>
    </w:p>
    <w:p>
      <w:pPr>
        <w:pStyle w:val="FirstParagraph"/>
      </w:pPr>
      <w:r>
        <w:t xml:space="preserve">[1] Q. Li, C. Mukhopadhyay, A. Bayat, A. Habibnia.</w:t>
      </w:r>
      <w:r>
        <w:t xml:space="preserve"> </w:t>
      </w:r>
      <w:r>
        <w:rPr>
          <w:i/>
          <w:iCs/>
        </w:rPr>
        <w:t xml:space="preserve">Quantum Reservoir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 for Realized Volatility Forecasting.</w:t>
      </w:r>
      <w:r>
        <w:t xml:space="preserve"> </w:t>
      </w:r>
      <w:r>
        <w:t xml:space="preserve">Phys. Rev. Research / arXiv:2505.13933 (2025).</w:t>
      </w:r>
    </w:p>
    <w:p>
      <w:pPr>
        <w:pStyle w:val="BodyText"/>
      </w:pPr>
      <w:r>
        <w:t xml:space="preserve">[2] M. Kornjača et al. </w:t>
      </w:r>
      <w:r>
        <w:rPr>
          <w:i/>
          <w:iCs/>
        </w:rPr>
        <w:t xml:space="preserve">Large-scale quantum reservoir learning with an analog</w:t>
      </w:r>
      <w:r>
        <w:rPr>
          <w:i/>
          <w:iCs/>
        </w:rPr>
        <w:t xml:space="preserve"> </w:t>
      </w:r>
      <w:r>
        <w:rPr>
          <w:i/>
          <w:iCs/>
        </w:rPr>
        <w:t xml:space="preserve">quantum computer.</w:t>
      </w:r>
      <w:r>
        <w:t xml:space="preserve"> </w:t>
      </w:r>
      <w:r>
        <w:t xml:space="preserve">arXiv:2407.02553 (2024).</w:t>
      </w:r>
    </w:p>
    <w:p>
      <w:pPr>
        <w:pStyle w:val="BodyText"/>
      </w:pPr>
      <w:r>
        <w:t xml:space="preserve">[3] C. Zhu, P. J. Ehlers, H. I. Nurdin, D. Soh.</w:t>
      </w:r>
      <w:r>
        <w:t xml:space="preserve"> </w:t>
      </w:r>
      <w:r>
        <w:rPr>
          <w:i/>
          <w:iCs/>
        </w:rPr>
        <w:t xml:space="preserve">Practical few-atom quantum</w:t>
      </w:r>
      <w:r>
        <w:rPr>
          <w:i/>
          <w:iCs/>
        </w:rPr>
        <w:t xml:space="preserve"> </w:t>
      </w:r>
      <w:r>
        <w:rPr>
          <w:i/>
          <w:iCs/>
        </w:rPr>
        <w:t xml:space="preserve">reservoir computing.</w:t>
      </w:r>
      <w:r>
        <w:t xml:space="preserve"> </w:t>
      </w:r>
      <w:r>
        <w:t xml:space="preserve">Phys. Rev. Research 7, 023290 (2025), arXiv:2405.04799.</w:t>
      </w:r>
    </w:p>
    <w:p>
      <w:pPr>
        <w:pStyle w:val="BodyText"/>
      </w:pPr>
      <w:r>
        <w:t xml:space="preserve">[4] R. Martínez-Peña, G. L. Giorgi, J. Nokkala, M. C. Soriano, R. Zambrini.</w:t>
      </w:r>
      <w:r>
        <w:t xml:space="preserve"> </w:t>
      </w:r>
      <w:r>
        <w:rPr>
          <w:i/>
          <w:iCs/>
        </w:rPr>
        <w:t xml:space="preserve">Dynamical Phase Transitions in Quantum Reservoir Computing.</w:t>
      </w:r>
      <w:r>
        <w:t xml:space="preserve"> </w:t>
      </w:r>
      <w:r>
        <w:t xml:space="preserve">Phys. Rev. Lett.</w:t>
      </w:r>
      <w:r>
        <w:t xml:space="preserve"> </w:t>
      </w:r>
      <w:r>
        <w:t xml:space="preserve">127, 100502 (2021).</w:t>
      </w:r>
    </w:p>
    <w:p>
      <w:pPr>
        <w:pStyle w:val="BodyText"/>
      </w:pPr>
      <w:r>
        <w:t xml:space="preserve">[5] K. Fujii, K. Nakajima.</w:t>
      </w:r>
      <w:r>
        <w:t xml:space="preserve"> </w:t>
      </w:r>
      <w:r>
        <w:rPr>
          <w:i/>
          <w:iCs/>
        </w:rPr>
        <w:t xml:space="preserve">Harnessing disordered ensemble quantum dynamics</w:t>
      </w:r>
      <w:r>
        <w:rPr>
          <w:i/>
          <w:iCs/>
        </w:rPr>
        <w:t xml:space="preserve"> </w:t>
      </w:r>
      <w:r>
        <w:rPr>
          <w:i/>
          <w:iCs/>
        </w:rPr>
        <w:t xml:space="preserve">for machine learning.</w:t>
      </w:r>
      <w:r>
        <w:t xml:space="preserve"> </w:t>
      </w:r>
      <w:r>
        <w:t xml:space="preserve">Phys. Rev. Applied 8, 024030 (2017), arXiv:1602.08159.</w:t>
      </w:r>
    </w:p>
    <w:p>
      <w:pPr>
        <w:pStyle w:val="BodyText"/>
      </w:pPr>
      <w:r>
        <w:t xml:space="preserve">[6] P. Mujal, R. Martínez-Peña, J. Nokkala, J. García-Beni, G. L. Giorgi,</w:t>
      </w:r>
      <w:r>
        <w:t xml:space="preserve"> </w:t>
      </w:r>
      <w:r>
        <w:t xml:space="preserve">M. C. Soriano, R. Zambrini.</w:t>
      </w:r>
      <w:r>
        <w:t xml:space="preserve"> </w:t>
      </w:r>
      <w:r>
        <w:rPr>
          <w:i/>
          <w:iCs/>
        </w:rPr>
        <w:t xml:space="preserve">Opportunities in Quantum Reservoir Computing and</w:t>
      </w:r>
      <w:r>
        <w:rPr>
          <w:i/>
          <w:iCs/>
        </w:rPr>
        <w:t xml:space="preserve"> </w:t>
      </w:r>
      <w:r>
        <w:rPr>
          <w:i/>
          <w:iCs/>
        </w:rPr>
        <w:t xml:space="preserve">Extreme Learning Machines.</w:t>
      </w:r>
      <w:r>
        <w:t xml:space="preserve"> </w:t>
      </w:r>
      <w:r>
        <w:t xml:space="preserve">Adv. Quantum Tech. 4, 2100027 (2021), arXiv:2102.11831.</w:t>
      </w:r>
    </w:p>
    <w:p>
      <w:pPr>
        <w:pStyle w:val="BodyText"/>
      </w:pPr>
      <w:r>
        <w:t xml:space="preserve">[7] O. Ahmed, F. Tennie, L. Magri.</w:t>
      </w:r>
      <w:r>
        <w:t xml:space="preserve"> </w:t>
      </w:r>
      <w:r>
        <w:rPr>
          <w:i/>
          <w:iCs/>
        </w:rPr>
        <w:t xml:space="preserve">Robust quantum reservoir computers for</w:t>
      </w:r>
      <w:r>
        <w:rPr>
          <w:i/>
          <w:iCs/>
        </w:rPr>
        <w:t xml:space="preserve"> </w:t>
      </w:r>
      <w:r>
        <w:rPr>
          <w:i/>
          <w:iCs/>
        </w:rPr>
        <w:t xml:space="preserve">forecasting chaotic dynamics: generalized synchronization and stability.</w:t>
      </w:r>
      <w:r>
        <w:t xml:space="preserve"> </w:t>
      </w:r>
      <w:r>
        <w:t xml:space="preserve">Proc.</w:t>
      </w:r>
      <w:r>
        <w:t xml:space="preserve"> </w:t>
      </w:r>
      <w:r>
        <w:t xml:space="preserve">R. Soc. A 481, 20250550 (2025), arXiv:2506.22335.</w:t>
      </w:r>
    </w:p>
    <w:p>
      <w:pPr>
        <w:pStyle w:val="BodyText"/>
      </w:pPr>
      <w:r>
        <w:t xml:space="preserve">[8] A. Sakurai, A. Hayashi, T. Matsumori, D. Kaji, T. Kadowaki, K. Nemoto.</w:t>
      </w:r>
      <w:r>
        <w:t xml:space="preserve"> </w:t>
      </w:r>
      <w:r>
        <w:rPr>
          <w:i/>
          <w:iCs/>
        </w:rPr>
        <w:t xml:space="preserve">Beyond Optimization: Harnessing Quantum Annealer Dynamics for Machine Learning.</w:t>
      </w:r>
      <w:r>
        <w:t xml:space="preserve"> </w:t>
      </w:r>
      <w:r>
        <w:t xml:space="preserve">arXiv:2601.09938 (2026).</w:t>
      </w:r>
    </w:p>
    <w:p>
      <w:pPr>
        <w:pStyle w:val="BodyText"/>
      </w:pPr>
      <w:r>
        <w:t xml:space="preserve">[9] F. Corsi.</w:t>
      </w:r>
      <w:r>
        <w:t xml:space="preserve"> </w:t>
      </w:r>
      <w:r>
        <w:rPr>
          <w:i/>
          <w:iCs/>
        </w:rPr>
        <w:t xml:space="preserve">A Simple Approximate Long-Memory Model of Realized Volatility.</w:t>
      </w:r>
      <w:r>
        <w:t xml:space="preserve"> </w:t>
      </w:r>
      <w:r>
        <w:t xml:space="preserve">Journal of Financial Econometrics 7(2), 174–196 (2009).</w:t>
      </w:r>
    </w:p>
    <w:p>
      <w:pPr>
        <w:pStyle w:val="BodyText"/>
      </w:pPr>
      <w:r>
        <w:t xml:space="preserve">[10] A. J. Patton.</w:t>
      </w:r>
      <w:r>
        <w:t xml:space="preserve"> </w:t>
      </w:r>
      <w:r>
        <w:rPr>
          <w:i/>
          <w:iCs/>
        </w:rPr>
        <w:t xml:space="preserve">Volatility forecast comparison using imperfect volatility</w:t>
      </w:r>
      <w:r>
        <w:rPr>
          <w:i/>
          <w:iCs/>
        </w:rPr>
        <w:t xml:space="preserve"> </w:t>
      </w:r>
      <w:r>
        <w:rPr>
          <w:i/>
          <w:iCs/>
        </w:rPr>
        <w:t xml:space="preserve">proxies.</w:t>
      </w:r>
      <w:r>
        <w:t xml:space="preserve"> </w:t>
      </w:r>
      <w:r>
        <w:t xml:space="preserve">Journal of Econometrics 160(1), 246–256 (2011).</w:t>
      </w:r>
    </w:p>
    <w:p>
      <w:pPr>
        <w:pStyle w:val="BodyText"/>
      </w:pPr>
      <w:r>
        <w:t xml:space="preserve">[11] J. Mincer, V. Zarnowitz.</w:t>
      </w:r>
      <w:r>
        <w:t xml:space="preserve"> </w:t>
      </w:r>
      <w:r>
        <w:rPr>
          <w:i/>
          <w:iCs/>
        </w:rPr>
        <w:t xml:space="preserve">The Evaluation of Economic Forecasts.</w:t>
      </w:r>
      <w:r>
        <w:t xml:space="preserve"> </w:t>
      </w:r>
      <w:r>
        <w:t xml:space="preserve">NBER</w:t>
      </w:r>
      <w:r>
        <w:t xml:space="preserve"> </w:t>
      </w:r>
      <w:r>
        <w:t xml:space="preserve">(1969).</w:t>
      </w:r>
    </w:p>
    <w:p>
      <w:pPr>
        <w:pStyle w:val="BodyText"/>
      </w:pPr>
      <w:r>
        <w:t xml:space="preserve">[12] T. Bollerslev.</w:t>
      </w:r>
      <w:r>
        <w:t xml:space="preserve"> </w:t>
      </w:r>
      <w:r>
        <w:rPr>
          <w:i/>
          <w:iCs/>
        </w:rPr>
        <w:t xml:space="preserve">Generalized Autoregressive Conditional Heteroskedasticity.</w:t>
      </w:r>
      <w:r>
        <w:t xml:space="preserve"> </w:t>
      </w:r>
      <w:r>
        <w:t xml:space="preserve">Journal of Econometrics 31(3), 307–327 (1986).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2026-05-25T19:56:40Z</dcterms:created>
  <dcterms:modified xsi:type="dcterms:W3CDTF">2026-05-25T19:56:40Z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