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27CD" w14:textId="77777777" w:rsidR="00A0004B" w:rsidRDefault="003D694B">
      <w:pPr>
        <w:pStyle w:val="Title"/>
        <w:spacing w:after="40"/>
      </w:pPr>
      <w:r>
        <w:t>QRC for SPY Realized Volatility — A Hybrid that Beats GARCH(1,1)</w:t>
      </w:r>
    </w:p>
    <w:p w14:paraId="7A4EA7A7" w14:textId="77777777" w:rsidR="00A0004B" w:rsidRDefault="003D694B">
      <w:pPr>
        <w:pStyle w:val="Subtitle"/>
        <w:spacing w:after="40"/>
      </w:pPr>
      <w:r>
        <w:t>GIC 2026 Phase 2 — Track A: Financial Volatility Prediction</w:t>
      </w:r>
    </w:p>
    <w:p w14:paraId="3682BD1C" w14:textId="77777777" w:rsidR="00A0004B" w:rsidRDefault="003D694B">
      <w:pPr>
        <w:pStyle w:val="Heading2"/>
        <w:spacing w:before="0" w:after="40"/>
      </w:pPr>
      <w:bookmarkStart w:id="0" w:name="problem-and-headline"/>
      <w:r>
        <w:t>1. Problem and headline</w:t>
      </w:r>
    </w:p>
    <w:p w14:paraId="509DB65C" w14:textId="77777777" w:rsidR="00A0004B" w:rsidRDefault="003D694B">
      <w:pPr>
        <w:pStyle w:val="FirstParagraph"/>
        <w:spacing w:before="0" w:after="40"/>
      </w:pPr>
      <w:r>
        <w:t xml:space="preserve">We forecast next-day </w:t>
      </w:r>
      <w:r>
        <w:rPr>
          <w:b/>
          <w:bCs/>
        </w:rPr>
        <w:t>realized volatility of SPY</w:t>
      </w:r>
      <w:r>
        <w:t xml:space="preserve"> </w:t>
      </w:r>
      <w:r>
        <w:t xml:space="preserve">(21-day rolling-std × √252) using daily OHLCV via yfinance, 2010–2024, chronological 80/20 split (2,984 train / 746 test). The question we sharpen beyond a raw point forecast: </w:t>
      </w:r>
      <w:r>
        <w:rPr>
          <w:i/>
          <w:iCs/>
        </w:rPr>
        <w:t>can a Quantum Reservoir Computer match GARCH(1,1) on the rubric’s required metrics (RMSE, R², QLIKE) and behave more uniformly across volatility regimes?</w:t>
      </w:r>
    </w:p>
    <w:p w14:paraId="4D69C36F" w14:textId="77777777" w:rsidR="00A0004B" w:rsidRDefault="003D694B">
      <w:pPr>
        <w:pStyle w:val="BodyText"/>
        <w:spacing w:before="0" w:after="40"/>
      </w:pPr>
      <w:r>
        <w:t xml:space="preserve">The answer is yes, in two ways: a bare QRC ties Persistence and beats every parametric ML baseline on RMSE, and a </w:t>
      </w:r>
      <w:r>
        <w:rPr>
          <w:b/>
          <w:bCs/>
        </w:rPr>
        <w:t>QRC that borrows GARCH’s structural prior beats GARCH(1,1) on RMSE, R², and QLIKE simultaneously</w:t>
      </w:r>
      <w:r>
        <w:t xml:space="preserve"> — the first configuration in this study to do so. The rest of the paper builds up to that result.</w:t>
      </w:r>
    </w:p>
    <w:p w14:paraId="6D7B5542" w14:textId="77777777" w:rsidR="00A0004B" w:rsidRDefault="003D694B">
      <w:pPr>
        <w:pStyle w:val="Heading2"/>
        <w:spacing w:before="0" w:after="40"/>
      </w:pPr>
      <w:bookmarkStart w:id="1" w:name="architecture"/>
      <w:bookmarkEnd w:id="0"/>
      <w:r>
        <w:t>2. Architecture</w:t>
      </w:r>
    </w:p>
    <w:p w14:paraId="2F82C04F" w14:textId="77777777" w:rsidR="00A0004B" w:rsidRDefault="003D694B">
      <w:pPr>
        <w:pStyle w:val="FirstParagraph"/>
        <w:spacing w:before="0" w:after="40"/>
      </w:pPr>
      <w:r>
        <w:t xml:space="preserve">The reservoir is a </w:t>
      </w:r>
      <w:r>
        <w:rPr>
          <w:b/>
          <w:bCs/>
        </w:rPr>
        <w:t>transverse-field Ising system</w:t>
      </w:r>
      <w:r>
        <w:t xml:space="preserve"> at a fixed mid-anneal snapshot, simulated by 3-step Trotter evolution of</w:t>
      </w:r>
    </w:p>
    <w:p w14:paraId="46186FF0" w14:textId="77777777" w:rsidR="00A0004B" w:rsidRDefault="003D694B">
      <w:pPr>
        <w:pStyle w:val="BodyText"/>
        <w:spacing w:before="0" w:after="40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mem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)∈</m:t>
              </m:r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z</m:t>
              </m:r>
            </m:sup>
          </m:sSubSup>
        </m:oMath>
      </m:oMathPara>
    </w:p>
    <w:p w14:paraId="328B30D7" w14:textId="77777777" w:rsidR="00A0004B" w:rsidRDefault="003D694B">
      <w:pPr>
        <w:pStyle w:val="FirstParagraph"/>
        <w:spacing w:before="0" w:after="40"/>
      </w:pPr>
      <w:r>
        <w:t xml:space="preserve">from </w:t>
      </w:r>
      <m:oMath>
        <m:r>
          <m:rPr>
            <m:sty m:val="p"/>
          </m:rPr>
          <w:rPr>
            <w:rFonts w:ascii="Cambria Math" w:hAnsi="Cambria Math"/>
          </w:rPr>
          <m:t>|+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⊗</m:t>
            </m:r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. We use </w:t>
      </w:r>
      <w:r>
        <w:rPr>
          <w:b/>
          <w:bCs/>
        </w:rPr>
        <w:t>n = 10 qubits, all-to-all coupling</w:t>
      </w:r>
      <w:r>
        <w:t xml:space="preserve">, random-fixed </w:t>
      </w:r>
      <w:r>
        <w:rPr>
          <w:rStyle w:val="VerbatimChar"/>
        </w:rPr>
        <w:t>J_ij ∈ [-1, 1]</w:t>
      </w:r>
      <w:r>
        <w:t xml:space="preserve">, and a learnable input-scale α. Inputs enter as </w:t>
      </w:r>
      <w:r>
        <w:rPr>
          <w:i/>
          <w:iCs/>
        </w:rPr>
        <w:t>longitudinal biases</w:t>
      </w:r>
      <w:r>
        <w:t xml:space="preserve"> </w:t>
      </w:r>
      <w:r>
        <w:rPr>
          <w:rStyle w:val="VerbatimChar"/>
        </w:rPr>
        <w:t>h_i = α·x_i</w:t>
      </w:r>
      <w:r>
        <w:t xml:space="preserve"> — the way D-Wave Advantage and QuEra Aquila program their devices natively, rather than the gate-model angle encoding. The reservoir produces 55 features (10 </w:t>
      </w:r>
      <w:r>
        <w:rPr>
          <w:rStyle w:val="VerbatimChar"/>
        </w:rPr>
        <w:t>⟨</w:t>
      </w:r>
      <w:r>
        <w:rPr>
          <w:rStyle w:val="VerbatimChar"/>
        </w:rPr>
        <w:t>Z_i</w:t>
      </w:r>
      <w:r>
        <w:rPr>
          <w:rStyle w:val="VerbatimChar"/>
        </w:rPr>
        <w:t>⟩</w:t>
      </w:r>
      <w:r>
        <w:t xml:space="preserve"> + 45 </w:t>
      </w:r>
      <w:r>
        <w:rPr>
          <w:rStyle w:val="VerbatimChar"/>
        </w:rPr>
        <w:t>⟨</w:t>
      </w:r>
      <w:r>
        <w:rPr>
          <w:rStyle w:val="VerbatimChar"/>
        </w:rPr>
        <w:t>Z_iZ_j</w:t>
      </w:r>
      <w:r>
        <w:rPr>
          <w:rStyle w:val="VerbatimChar"/>
        </w:rPr>
        <w:t>⟩</w:t>
      </w:r>
      <w:r>
        <w:t xml:space="preserve">), concatenated with the 21 raw inputs and passed to a </w:t>
      </w:r>
      <w:r>
        <w:rPr>
          <w:b/>
          <w:bCs/>
        </w:rPr>
        <w:t>Ridge readout</w:t>
      </w:r>
      <w:r>
        <w:t xml:space="preserve"> with TimeSeriesSplit-CV regularisation. The target is the residual log-vol </w:t>
      </w:r>
      <w:r>
        <w:rPr>
          <w:rStyle w:val="VerbatimChar"/>
        </w:rPr>
        <w:t>y = log RV[t] − log RV[t−1]</w:t>
      </w:r>
      <w:r>
        <w:t>, so predic</w:t>
      </w:r>
      <w:r>
        <w:t>ting 0 = Persistence and the head learns the deviation. Figure 1 shows the full pipeline.</w:t>
      </w:r>
    </w:p>
    <w:p w14:paraId="20DD7C1A" w14:textId="77777777" w:rsidR="00A0004B" w:rsidRDefault="003D694B">
      <w:pPr>
        <w:pStyle w:val="CaptionedFigure"/>
        <w:spacing w:after="40"/>
      </w:pPr>
      <w:r>
        <w:rPr>
          <w:noProof/>
        </w:rPr>
        <w:drawing>
          <wp:inline distT="0" distB="0" distL="0" distR="0" wp14:anchorId="27570388" wp14:editId="502F3F96">
            <wp:extent cx="3733800" cy="2007290"/>
            <wp:effectExtent l="0" t="0" r="0" b="0"/>
            <wp:docPr id="22" name="Picture" descr="Figure 1. QRC architecture: input → longitudinal-bias encoding → Trotterised Ising evolution → ⟨Z⟩, ⟨ZZ⟩ readout → hybrid Ridge head with raw-feature shortcut → next-day RV. Hamiltonian = Aquila’s native form, simulated classically her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../../figures/architect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EBCAC" w14:textId="77777777" w:rsidR="00A0004B" w:rsidRDefault="003D694B">
      <w:pPr>
        <w:pStyle w:val="ImageCaption"/>
        <w:spacing w:after="40"/>
      </w:pPr>
      <w:r>
        <w:rPr>
          <w:b/>
          <w:bCs/>
        </w:rPr>
        <w:t>Figure 1.</w:t>
      </w:r>
      <w:r>
        <w:t xml:space="preserve"> QRC architecture: input → longitudinal-bias encoding → Trotterised Ising evolution → </w:t>
      </w:r>
      <w:r>
        <w:t>⟨</w:t>
      </w:r>
      <w:r>
        <w:t>Z</w:t>
      </w:r>
      <w:r>
        <w:t>⟩</w:t>
      </w:r>
      <w:r>
        <w:t xml:space="preserve">, </w:t>
      </w:r>
      <w:r>
        <w:t>⟨</w:t>
      </w:r>
      <w:r>
        <w:t>ZZ</w:t>
      </w:r>
      <w:r>
        <w:t>⟩</w:t>
      </w:r>
      <w:r>
        <w:t xml:space="preserve"> readout → hybrid Ridge head with raw-feature shortcut → next-day RV. Hamiltonian = Aquila’s native form, simulated classically here.</w:t>
      </w:r>
    </w:p>
    <w:p w14:paraId="40C8FA69" w14:textId="77777777" w:rsidR="00A0004B" w:rsidRDefault="003D694B">
      <w:pPr>
        <w:pStyle w:val="Heading2"/>
        <w:spacing w:before="0" w:after="40"/>
      </w:pPr>
      <w:bookmarkStart w:id="2" w:name="X4ec5c1d92208a2227004c23ab682f4678452a25"/>
      <w:bookmarkEnd w:id="1"/>
      <w:r>
        <w:t>3. Why this works — and where the parameters come from</w:t>
      </w:r>
    </w:p>
    <w:p w14:paraId="793B6595" w14:textId="77777777" w:rsidR="00A0004B" w:rsidRDefault="003D694B">
      <w:pPr>
        <w:pStyle w:val="FirstParagraph"/>
        <w:spacing w:before="0" w:after="40"/>
      </w:pPr>
      <w:r>
        <w:t xml:space="preserve">Three reservoir properties are exploited: (i) </w:t>
      </w:r>
      <w:r>
        <w:rPr>
          <w:b/>
          <w:bCs/>
        </w:rPr>
        <w:t>Hilbert-space expressiveness</w:t>
      </w:r>
      <w:r>
        <w:t xml:space="preserve"> — 2^10 basis states for 21 input dimensions, so the readout selects a useful projection of an already-nonlinear feature space; (ii) </w:t>
      </w:r>
      <w:r>
        <w:rPr>
          <w:b/>
          <w:bCs/>
        </w:rPr>
        <w:t>transverse-field mixing</w:t>
      </w:r>
      <w:r>
        <w:t xml:space="preserve"> — without the </w:t>
      </w:r>
      <w:r>
        <w:rPr>
          <w:rStyle w:val="VerbatimChar"/>
        </w:rPr>
        <w:t>−</w:t>
      </w:r>
      <w:r>
        <w:rPr>
          <w:rStyle w:val="VerbatimChar"/>
        </w:rPr>
        <w:t>Σσ^x</w:t>
      </w:r>
      <w:r>
        <w:t xml:space="preserve"> term the Hamiltonian is diagonal in the Z </w:t>
      </w:r>
      <w:r>
        <w:lastRenderedPageBreak/>
        <w:t xml:space="preserve">basis and the dynamics freeze, so the field is what makes the reservoir react to inputs; (iii) </w:t>
      </w:r>
      <w:r>
        <w:rPr>
          <w:b/>
          <w:bCs/>
        </w:rPr>
        <w:t>random Ising disorder</w:t>
      </w:r>
      <w:r>
        <w:t xml:space="preserve"> — fixed-random </w:t>
      </w:r>
      <w:r>
        <w:rPr>
          <w:rStyle w:val="VerbatimChar"/>
        </w:rPr>
        <w:t>J_ij</w:t>
      </w:r>
      <w:r>
        <w:t xml:space="preserve"> puts the system in a generic dynamical regime without fine-tuning, the canonical reservoir-computing recipe since Fujii–Nakajima</w:t>
      </w:r>
      <w:r>
        <w:t xml:space="preserve"> 2017 [5].</w:t>
      </w:r>
    </w:p>
    <w:p w14:paraId="76B5045B" w14:textId="77777777" w:rsidR="00A0004B" w:rsidRDefault="003D694B">
      <w:pPr>
        <w:pStyle w:val="BodyText"/>
        <w:spacing w:before="0" w:after="40"/>
      </w:pPr>
      <w:r>
        <w:t xml:space="preserve">The magnitudes of </w:t>
      </w:r>
      <w:r>
        <w:rPr>
          <w:rStyle w:val="VerbatimChar"/>
        </w:rPr>
        <w:t>α</w:t>
      </w:r>
      <w:r>
        <w:t xml:space="preserve"> (input scale) and </w:t>
      </w:r>
      <w:r>
        <w:rPr>
          <w:rStyle w:val="VerbatimChar"/>
        </w:rPr>
        <w:t>t</w:t>
      </w:r>
      <w:r>
        <w:t xml:space="preserve"> (evolution time) jointly set where the system sits on the dynamical-phase-transition curve of Martínez-Peña et al. (2021) [4]. Too short: transverse-field-dominated, inputs don’t propagate. Too long: problem-Hamiltonian-dominated, classical Ising freezing. A 14-config sweep at 10q all-to-all locates the optimum at </w:t>
      </w:r>
      <w:r>
        <w:rPr>
          <w:rStyle w:val="VerbatimChar"/>
        </w:rPr>
        <w:t>(t = 2.0, α = 1.0)</w:t>
      </w:r>
      <w:r>
        <w:t xml:space="preserve"> </w:t>
      </w:r>
      <w:r>
        <w:t xml:space="preserve">(results below); a 5-seed ensemble at this point gives </w:t>
      </w:r>
      <w:r>
        <w:rPr>
          <w:b/>
          <w:bCs/>
        </w:rPr>
        <w:t>RMSE = 0.00953 ± 0.00010</w:t>
      </w:r>
      <w:r>
        <w:t>.</w:t>
      </w:r>
    </w:p>
    <w:p w14:paraId="19750162" w14:textId="77777777" w:rsidR="00A0004B" w:rsidRDefault="003D694B">
      <w:pPr>
        <w:pStyle w:val="Heading2"/>
        <w:spacing w:before="0" w:after="40"/>
      </w:pPr>
      <w:bookmarkStart w:id="3" w:name="results"/>
      <w:bookmarkEnd w:id="2"/>
      <w:r>
        <w:t>4. Results</w:t>
      </w:r>
    </w:p>
    <w:p w14:paraId="38C2DCDA" w14:textId="77777777" w:rsidR="00A0004B" w:rsidRDefault="003D694B">
      <w:pPr>
        <w:pStyle w:val="FirstParagraph"/>
        <w:spacing w:before="0" w:after="40"/>
      </w:pPr>
      <w:r>
        <w:t>Figure 2 reports three views of the same comparison. (a) Leaderboard against all required Track A baselines. (b) Per-regime RMSE (VIX terciles). (c) GARCH-hybrid result.</w:t>
      </w:r>
    </w:p>
    <w:p w14:paraId="269F5F47" w14:textId="77777777" w:rsidR="00A0004B" w:rsidRDefault="003D694B">
      <w:pPr>
        <w:pStyle w:val="CaptionedFigure"/>
        <w:spacing w:after="40"/>
      </w:pPr>
      <w:r>
        <w:rPr>
          <w:noProof/>
        </w:rPr>
        <w:drawing>
          <wp:inline distT="0" distB="0" distL="0" distR="0" wp14:anchorId="3FA74CC3" wp14:editId="1038A491">
            <wp:extent cx="3627120" cy="3313803"/>
            <wp:effectExtent l="0" t="0" r="0" b="0"/>
            <wp:docPr id="27" name="Picture" descr="Figure 2. (a) Leaderboard — bare QRC (purple, 5-seed ±σ error bar) ties Persistence, beats every parametric ML baseline. GARCH leads — see §5. (b) GARCH dominates turbulent regimes by ~20% but is worst in calm; QRC has the most uniform profile. (c) Both QRC-hybrid variants beat GARCH on RMSE; Ridge with the same augmentation does not — the improvement is isolable to the reservo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../../figures/phase2_composit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31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6F697" w14:textId="77777777" w:rsidR="00A0004B" w:rsidRDefault="003D694B">
      <w:pPr>
        <w:pStyle w:val="ImageCaption"/>
        <w:spacing w:after="40"/>
      </w:pPr>
      <w:r>
        <w:rPr>
          <w:b/>
          <w:bCs/>
        </w:rPr>
        <w:t>Figure 2.</w:t>
      </w:r>
      <w:r>
        <w:t xml:space="preserve"> (a) Leaderboard — bare QRC (purple, 5-seed ±σ error bar) ties Persistence, beats every parametric ML baseline. GARCH leads — see §5. (b) GARCH dominates turbulent regimes by ~20% but is </w:t>
      </w:r>
      <w:r>
        <w:rPr>
          <w:iCs/>
        </w:rPr>
        <w:t>worst</w:t>
      </w:r>
      <w:r>
        <w:t xml:space="preserve"> in calm; QRC has the most uniform profile. (c) Both QRC-hybrid variants beat GARCH on RMSE; Ridge with the same augmentation does not — the improvement is isolable to the reservoir.</w:t>
      </w:r>
    </w:p>
    <w:p w14:paraId="4AFEE9DA" w14:textId="77777777" w:rsidR="00A0004B" w:rsidRDefault="003D694B">
      <w:pPr>
        <w:pStyle w:val="BodyText"/>
        <w:spacing w:before="0" w:after="40"/>
      </w:pPr>
      <w:r>
        <w:rPr>
          <w:b/>
          <w:bCs/>
        </w:rPr>
        <w:t>Leaderboard (Fig 2a):</w:t>
      </w:r>
      <w:r>
        <w:t xml:space="preserve"> QRC Ising 0.00953, Persistence 0.00941, AR(5) 0.00954, gate-based QRC 0.00967, ESN 0.00970, Ridge 0.00976, LSTM 0.01066; GARCH 0.00795. The QRC’s Mincer–Zarnowitz joint test (a = 0, b = 1) gives p = 0.34 — predictions are unbiased and efficient. QLIKE (Patton 2011 [10]) = 0.00877 ± 0.0001. </w:t>
      </w:r>
      <w:r>
        <w:rPr>
          <w:b/>
          <w:bCs/>
        </w:rPr>
        <w:t>Regime panel (Fig 2b):</w:t>
      </w:r>
      <w:r>
        <w:t xml:space="preserve"> GARCH dominates turbulent (0.01088) and normal (0.00601) but is </w:t>
      </w:r>
      <w:r>
        <w:rPr>
          <w:i/>
          <w:iCs/>
        </w:rPr>
        <w:t>worst</w:t>
      </w:r>
      <w:r>
        <w:t xml:space="preserve"> in calm (0.00590 vs ESN’s 0.00546). ESN inverts that. The QRC sits between in every regime, with the smallest calm-to-turbulent</w:t>
      </w:r>
      <w:r>
        <w:t xml:space="preserve"> ratio of any learning-based model — useful for stress-regime risk applications.</w:t>
      </w:r>
    </w:p>
    <w:p w14:paraId="305E38B9" w14:textId="77777777" w:rsidR="00A0004B" w:rsidRDefault="003D694B">
      <w:pPr>
        <w:pStyle w:val="Heading2"/>
        <w:spacing w:before="0" w:after="40"/>
      </w:pPr>
      <w:bookmarkStart w:id="4" w:name="Xd03d4bf33626b34ec07af493afec62015028de8"/>
      <w:bookmarkEnd w:id="3"/>
      <w:r>
        <w:t>5. The GARCH puzzle — and how the QRC solves it</w:t>
      </w:r>
    </w:p>
    <w:p w14:paraId="29B2D398" w14:textId="77777777" w:rsidR="00A0004B" w:rsidRDefault="003D694B">
      <w:pPr>
        <w:pStyle w:val="FirstParagraph"/>
        <w:spacing w:before="0" w:after="40"/>
      </w:pPr>
      <w:r>
        <w:t xml:space="preserve">GARCH’s lead is </w:t>
      </w:r>
      <w:r>
        <w:rPr>
          <w:i/>
          <w:iCs/>
        </w:rPr>
        <w:t>structural</w:t>
      </w:r>
      <w:r>
        <w:t xml:space="preserve">, not parametric. The 21-day realized-vol target is a sum of 21 squared log-returns; at forecast time </w:t>
      </w:r>
      <w:r>
        <w:rPr>
          <w:rStyle w:val="VerbatimChar"/>
        </w:rPr>
        <w:t>t</w:t>
      </w:r>
      <w:r>
        <w:t xml:space="preserve">, </w:t>
      </w:r>
      <w:r>
        <w:rPr>
          <w:b/>
          <w:bCs/>
        </w:rPr>
        <w:t>20 are observed exactly</w:t>
      </w:r>
      <w:r>
        <w:t xml:space="preserve"> and only the 21st is unknown. GARCH forecasts just that one term and plugs it into the decomposition:</w:t>
      </w:r>
    </w:p>
    <w:p w14:paraId="4C6C4583" w14:textId="77777777" w:rsidR="00A0004B" w:rsidRDefault="003D694B">
      <w:pPr>
        <w:pStyle w:val="BodyText"/>
        <w:spacing w:before="0" w:after="4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RV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21 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20 </m:t>
              </m:r>
              <m:r>
                <m:rPr>
                  <m:nor/>
                </m:rPr>
                <m:t>known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GARCH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1 </m:t>
              </m:r>
              <m:r>
                <m:rPr>
                  <m:nor/>
                </m:rPr>
                <m:t>forecast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B37D84" w14:textId="77777777" w:rsidR="00A0004B" w:rsidRDefault="003D694B">
      <w:pPr>
        <w:pStyle w:val="FirstParagraph"/>
        <w:spacing w:before="0" w:after="40"/>
      </w:pPr>
      <w:r>
        <w:t xml:space="preserve">The bare QRC has no such prior — it learns the decomposition implicitly and doesn’t fully recover it. We give it the prior directly, two ways: </w:t>
      </w:r>
      <w:r>
        <w:rPr>
          <w:b/>
          <w:bCs/>
        </w:rPr>
        <w:t>(A) GARCH proxy as exogenous feature</w:t>
      </w:r>
      <w:r>
        <w:t xml:space="preserve"> — fit GARCH(1,1) on training returns only, append </w:t>
      </w:r>
      <w:r>
        <w:rPr>
          <w:rStyle w:val="VerbatimChar"/>
        </w:rPr>
        <w:t>σ²_garch(t)</w:t>
      </w:r>
      <w:r>
        <w:t xml:space="preserve"> to the feature vector. </w:t>
      </w:r>
      <w:r>
        <w:rPr>
          <w:b/>
          <w:bCs/>
        </w:rPr>
        <w:t>(B) GARCH-residual target</w:t>
      </w:r>
      <w:r>
        <w:t xml:space="preserve"> — retarget </w:t>
      </w:r>
      <w:r>
        <w:rPr>
          <w:rStyle w:val="VerbatimChar"/>
        </w:rPr>
        <w:t>y = log RV[t] − log RV_garch[t]</w:t>
      </w:r>
      <w:r>
        <w:t>; predicting 0 = GARCH, any non-zero output is the QRC’s contribution.</w:t>
      </w:r>
    </w:p>
    <w:p w14:paraId="30E3235F" w14:textId="77777777" w:rsidR="00A0004B" w:rsidRDefault="003D694B">
      <w:pPr>
        <w:pStyle w:val="BodyText"/>
        <w:spacing w:before="0" w:after="40"/>
      </w:pPr>
      <w:r>
        <w:rPr>
          <w:b/>
          <w:bCs/>
        </w:rPr>
        <w:t>Headline (Fig 2c, dashed box):</w:t>
      </w:r>
      <w:r>
        <w:t xml:space="preserve"> Ridge with the same GARCH augmentation does </w:t>
      </w:r>
      <w:r>
        <w:rPr>
          <w:i/>
          <w:iCs/>
        </w:rPr>
        <w:t>not</w:t>
      </w:r>
      <w:r>
        <w:t xml:space="preserve"> beat GARCH (0.00801–0.00805 vs 0.00795); adding the QRC reservoir on top drops RMSE another ~2% to 0.00786 (A) and </w:t>
      </w:r>
      <w:r>
        <w:rPr>
          <w:b/>
          <w:bCs/>
        </w:rPr>
        <w:t>0.00784</w:t>
      </w:r>
      <w:r>
        <w:t xml:space="preserve"> (B), and QLIKE by ~4–6%. </w:t>
      </w:r>
      <w:r>
        <w:rPr>
          <w:b/>
          <w:bCs/>
        </w:rPr>
        <w:t>First configuration in the study to beat GARCH on RMSE, R², and QLIKE simultaneously.</w:t>
      </w:r>
      <w:r>
        <w:t xml:space="preserve"> The QRC’s value is </w:t>
      </w:r>
      <w:r>
        <w:rPr>
          <w:i/>
          <w:iCs/>
        </w:rPr>
        <w:t>orthogonal signal extraction</w:t>
      </w:r>
      <w:r>
        <w:t xml:space="preserve">: the reservoir’s </w:t>
      </w:r>
      <w:r>
        <w:rPr>
          <w:rStyle w:val="VerbatimChar"/>
        </w:rPr>
        <w:t>⟨</w:t>
      </w:r>
      <w:r>
        <w:rPr>
          <w:rStyle w:val="VerbatimChar"/>
        </w:rPr>
        <w:t>ZZ</w:t>
      </w:r>
      <w:r>
        <w:rPr>
          <w:rStyle w:val="VerbatimChar"/>
        </w:rPr>
        <w:t>⟩</w:t>
      </w:r>
      <w:r>
        <w:t xml:space="preserve"> correlators pick up nonlinear feature interactions (regime transitions, heteroskedasticity-of-heteroskedasticity) that GARCH’s parametric form misses.</w:t>
      </w:r>
    </w:p>
    <w:p w14:paraId="14D0B514" w14:textId="77777777" w:rsidR="00A0004B" w:rsidRDefault="003D694B">
      <w:pPr>
        <w:pStyle w:val="Heading2"/>
        <w:spacing w:before="0" w:after="40"/>
      </w:pPr>
      <w:bookmarkStart w:id="5" w:name="data-baselines-platform-phase-3"/>
      <w:bookmarkEnd w:id="4"/>
      <w:r>
        <w:t>6. Data, baselines, platform, Phase 3</w:t>
      </w:r>
    </w:p>
    <w:p w14:paraId="25BF7145" w14:textId="77777777" w:rsidR="00A0004B" w:rsidRDefault="003D694B">
      <w:pPr>
        <w:pStyle w:val="FirstParagraph"/>
        <w:spacing w:before="0" w:after="40"/>
      </w:pPr>
      <w:r>
        <w:rPr>
          <w:b/>
          <w:bCs/>
        </w:rPr>
        <w:t>Data:</w:t>
      </w:r>
      <w:r>
        <w:t xml:space="preserve"> SPY 2010–2024 (yfinance), 3,750 days, chronological 80/20 split. </w:t>
      </w:r>
      <w:r>
        <w:rPr>
          <w:b/>
          <w:bCs/>
        </w:rPr>
        <w:t>Features (21):</w:t>
      </w:r>
      <w:r>
        <w:t xml:space="preserve"> 5 lags of </w:t>
      </w:r>
      <w:r>
        <w:rPr>
          <w:rStyle w:val="VerbatimChar"/>
        </w:rPr>
        <w:t>log_ret</w:t>
      </w:r>
      <w:r>
        <w:t xml:space="preserve">, </w:t>
      </w:r>
      <w:r>
        <w:rPr>
          <w:rStyle w:val="VerbatimChar"/>
        </w:rPr>
        <w:t>|log_ret|</w:t>
      </w:r>
      <w:r>
        <w:t xml:space="preserve">, </w:t>
      </w:r>
      <w:r>
        <w:rPr>
          <w:rStyle w:val="VerbatimChar"/>
        </w:rPr>
        <w:t>log_ret²</w:t>
      </w:r>
      <w:r>
        <w:t xml:space="preserve">, plus HAR-RV daily/weekly/monthly means (Corsi 2009 [9]) and their logs. </w:t>
      </w:r>
      <w:r>
        <w:rPr>
          <w:b/>
          <w:bCs/>
        </w:rPr>
        <w:t>Baselines (rubric-required):</w:t>
      </w:r>
      <w:r>
        <w:t xml:space="preserve"> Persistence, AR(5), Ridge, ESN-200, GARCH(1,1) via </w:t>
      </w:r>
      <w:r>
        <w:rPr>
          <w:rStyle w:val="VerbatimChar"/>
        </w:rPr>
        <w:t>arch</w:t>
      </w:r>
      <w:r>
        <w:t xml:space="preserve">, LSTM (1L × 32h, PyTorch). </w:t>
      </w:r>
      <w:r>
        <w:rPr>
          <w:b/>
          <w:bCs/>
        </w:rPr>
        <w:t>Metrics:</w:t>
      </w:r>
      <w:r>
        <w:t xml:space="preserve"> RMSE, MAE, R², NMSE, QLIKE, Mincer–Zarnowitz.</w:t>
      </w:r>
    </w:p>
    <w:p w14:paraId="3C6935F7" w14:textId="77777777" w:rsidR="00A0004B" w:rsidRDefault="003D694B">
      <w:pPr>
        <w:pStyle w:val="BodyText"/>
        <w:spacing w:before="0" w:after="40"/>
      </w:pPr>
      <w:r>
        <w:rPr>
          <w:b/>
          <w:bCs/>
        </w:rPr>
        <w:t>Primary platform — QuEra Aquila</w:t>
      </w:r>
      <w:r>
        <w:t xml:space="preserve"> (256-qubit Rydberg) via qBraid’s Bloqade SDK; declared on cover page. Aquila’s native Hamiltonian matches our reservoir’s form; Kornjača et al. 2024 [2] demonstrated 108-qubit QRC on this exact device. </w:t>
      </w:r>
      <w:r>
        <w:rPr>
          <w:b/>
          <w:bCs/>
        </w:rPr>
        <w:t>Alternative — D-Wave Advantage</w:t>
      </w:r>
      <w:r>
        <w:t xml:space="preserve"> (5,000+ qubits, programmable </w:t>
      </w:r>
      <w:r>
        <w:rPr>
          <w:rStyle w:val="VerbatimChar"/>
        </w:rPr>
        <w:t>h_i</w:t>
      </w:r>
      <w:r>
        <w:t>/</w:t>
      </w:r>
      <w:r>
        <w:rPr>
          <w:rStyle w:val="VerbatimChar"/>
        </w:rPr>
        <w:t>J_ij</w:t>
      </w:r>
      <w:r>
        <w:t xml:space="preserve">). </w:t>
      </w:r>
      <w:r>
        <w:rPr>
          <w:b/>
          <w:bCs/>
        </w:rPr>
        <w:t>Backup — IBM Heron</w:t>
      </w:r>
      <w:r>
        <w:t xml:space="preserve"> via Qiskit Runtime; the Open Plan now offers </w:t>
      </w:r>
      <w:r>
        <w:rPr>
          <w:b/>
          <w:bCs/>
        </w:rPr>
        <w:t>up to 180 minutes QPU time per 12 months</w:t>
      </w:r>
      <w:r>
        <w:t xml:space="preserve"> (</w:t>
      </w:r>
      <w:hyperlink r:id="rId7">
        <w:r>
          <w:rPr>
            <w:rStyle w:val="Hyperlink"/>
          </w:rPr>
          <w:t>IBM, 2026</w:t>
        </w:r>
      </w:hyperlink>
      <w:r>
        <w:t xml:space="preserve">). Per-sample Aquila is ~140 μs → ~40 sec QPU time per full test-set pass at 1,000 shots. </w:t>
      </w:r>
      <w:r>
        <w:rPr>
          <w:b/>
          <w:bCs/>
        </w:rPr>
        <w:t>Hybrid strategy:</w:t>
      </w:r>
      <w:r>
        <w:t xml:space="preserve"> train Ridge on simulator features; run only the test set on hardware so the HW-vs-sim gap </w:t>
      </w:r>
      <w:r>
        <w:rPr>
          <w:i/>
          <w:iCs/>
        </w:rPr>
        <w:t>is</w:t>
      </w:r>
      <w:r>
        <w:t xml:space="preserve"> the hardware story.</w:t>
      </w:r>
    </w:p>
    <w:p w14:paraId="2B480CAA" w14:textId="77777777" w:rsidR="00A0004B" w:rsidRDefault="003D694B">
      <w:pPr>
        <w:pStyle w:val="BodyText"/>
        <w:spacing w:before="0" w:after="40"/>
      </w:pPr>
      <w:r>
        <w:rPr>
          <w:b/>
          <w:bCs/>
        </w:rPr>
        <w:t>Phase 3 milestones (10 weeks):</w:t>
      </w:r>
      <w:r>
        <w:t xml:space="preserve"> </w:t>
      </w:r>
      <w:r>
        <w:rPr>
          <w:i/>
          <w:iCs/>
        </w:rPr>
        <w:t>W1–2</w:t>
      </w:r>
      <w:r>
        <w:t xml:space="preserve"> Aquila access, 30q single config. </w:t>
      </w:r>
      <w:r>
        <w:rPr>
          <w:i/>
          <w:iCs/>
        </w:rPr>
        <w:t>W3–4</w:t>
      </w:r>
      <w:r>
        <w:t xml:space="preserve"> common-MNIST benchmark (declared Phase 2 gap), 5/10/15-qubit noise study (depolarising + amplitude damping), GJR-GARCH and HAR-RV econometric baselines. </w:t>
      </w:r>
      <w:r>
        <w:rPr>
          <w:i/>
          <w:iCs/>
        </w:rPr>
        <w:t>W5–6</w:t>
      </w:r>
      <w:r>
        <w:t xml:space="preserve"> Aquila hardware sweep, QPU-vs-sim gap. </w:t>
      </w:r>
      <w:r>
        <w:rPr>
          <w:i/>
          <w:iCs/>
        </w:rPr>
        <w:t>W7–8</w:t>
      </w:r>
      <w:r>
        <w:t xml:space="preserve"> regime-conditional metrics on hardware; intraday horizon. </w:t>
      </w:r>
      <w:r>
        <w:rPr>
          <w:i/>
          <w:iCs/>
        </w:rPr>
        <w:t>W9–10</w:t>
      </w:r>
      <w:r>
        <w:t xml:space="preserve"> Phase 3 paper + qBraid Skill (agent-executable reproducibility).</w:t>
      </w:r>
    </w:p>
    <w:p w14:paraId="061A97A0" w14:textId="77777777" w:rsidR="00A0004B" w:rsidRDefault="003D694B">
      <w:pPr>
        <w:pStyle w:val="BodyText"/>
        <w:spacing w:before="0" w:after="40"/>
      </w:pPr>
      <w:r>
        <w:rPr>
          <w:b/>
          <w:bCs/>
        </w:rPr>
        <w:t>Stakeholders.</w:t>
      </w:r>
      <w:r>
        <w:t xml:space="preserve"> Daily vol forecasts feed trading-desk delta hedging, risk-manager VaR/ES, market-maker spread setting (JonesTrading’s domain). The QRC’s regime-uniform property is the differentiator — a forecast whose error doesn’t collapse during stress windows, complementary to GARCH’s turbulent-regime strength.</w:t>
      </w:r>
    </w:p>
    <w:p w14:paraId="45377BA3" w14:textId="77777777" w:rsidR="00A0004B" w:rsidRDefault="003D694B">
      <w:pPr>
        <w:pStyle w:val="BodyText"/>
        <w:spacing w:before="0" w:after="40"/>
      </w:pPr>
      <w:r>
        <w:rPr>
          <w:b/>
          <w:bCs/>
        </w:rPr>
        <w:t>Disclosure.</w:t>
      </w:r>
      <w:r>
        <w:t xml:space="preserve"> Developed with LLM assistance for code drafting and writing; experimental results, architectural choices, and analyses are the team’s own; full version history at </w:t>
      </w:r>
      <w:r>
        <w:rPr>
          <w:rStyle w:val="VerbatimChar"/>
        </w:rPr>
        <w:t>github.com/GrigoVyd/GIC26_QRC</w:t>
      </w:r>
      <w:r>
        <w:t>.</w:t>
      </w:r>
    </w:p>
    <w:p w14:paraId="7C8F03FD" w14:textId="77777777" w:rsidR="00A0004B" w:rsidRDefault="003D694B">
      <w:pPr>
        <w:pStyle w:val="Heading2"/>
        <w:spacing w:before="0" w:after="40"/>
      </w:pPr>
      <w:bookmarkStart w:id="6" w:name="references"/>
      <w:bookmarkEnd w:id="5"/>
      <w:r>
        <w:br w:type="page"/>
      </w:r>
      <w:r>
        <w:lastRenderedPageBreak/>
        <w:t>References</w:t>
      </w:r>
    </w:p>
    <w:p w14:paraId="1598F0B5" w14:textId="77777777" w:rsidR="00A0004B" w:rsidRDefault="003D694B">
      <w:pPr>
        <w:pStyle w:val="FirstParagraph"/>
        <w:spacing w:before="0" w:after="40"/>
      </w:pPr>
      <w:r>
        <w:t xml:space="preserve">[1] Q. Li, C. Mukhopadhyay, A. Bayat, A. Habibnia. </w:t>
      </w:r>
      <w:r>
        <w:rPr>
          <w:i/>
          <w:iCs/>
        </w:rPr>
        <w:t>Quantum Reservoir Computing for Realized Volatility Forecasting.</w:t>
      </w:r>
      <w:r>
        <w:t xml:space="preserve"> arXiv:2505.13933 (2025).</w:t>
      </w:r>
      <w:r>
        <w:br/>
        <w:t>[2] M. Kornjača et al. </w:t>
      </w:r>
      <w:r>
        <w:rPr>
          <w:i/>
          <w:iCs/>
        </w:rPr>
        <w:t>Large-scale quantum reservoir learning with an analog quantum computer.</w:t>
      </w:r>
      <w:r>
        <w:t xml:space="preserve"> arXiv:2407.02553 (2024).</w:t>
      </w:r>
      <w:r>
        <w:br/>
        <w:t xml:space="preserve">[3] C. Zhu, P. J. Ehlers, H. I. Nurdin, D. Soh. </w:t>
      </w:r>
      <w:r>
        <w:rPr>
          <w:i/>
          <w:iCs/>
        </w:rPr>
        <w:t>Practical few-atom quantum reservoir computing.</w:t>
      </w:r>
      <w:r>
        <w:t xml:space="preserve"> Phys. Rev. Research 7, 023290 (2025).</w:t>
      </w:r>
      <w:r>
        <w:br/>
        <w:t xml:space="preserve">[4] R. Martínez-Peña, G. L. Giorgi, J. Nokkala, M. C. Soriano, R. Zambrini. </w:t>
      </w:r>
      <w:r>
        <w:rPr>
          <w:i/>
          <w:iCs/>
        </w:rPr>
        <w:t>Dynamical Phase Transitions in Quantum Reservoir Computing.</w:t>
      </w:r>
      <w:r>
        <w:t xml:space="preserve"> PRL 127, 100502 (2021).</w:t>
      </w:r>
      <w:r>
        <w:br/>
        <w:t>[5] K. F</w:t>
      </w:r>
      <w:r>
        <w:t xml:space="preserve">ujii, K. Nakajima. </w:t>
      </w:r>
      <w:r>
        <w:rPr>
          <w:i/>
          <w:iCs/>
        </w:rPr>
        <w:t>Harnessing disordered ensemble quantum dynamics for machine learning.</w:t>
      </w:r>
      <w:r>
        <w:t xml:space="preserve"> Phys. Rev. Applied 8, 024030 (2017).</w:t>
      </w:r>
      <w:r>
        <w:br/>
        <w:t>[6] P. Mujal et al. </w:t>
      </w:r>
      <w:r>
        <w:rPr>
          <w:i/>
          <w:iCs/>
        </w:rPr>
        <w:t>Opportunities in Quantum Reservoir Computing and Extreme Learning Machines.</w:t>
      </w:r>
      <w:r>
        <w:t xml:space="preserve"> Adv. Quantum Tech. 4, 2100027 (2021).</w:t>
      </w:r>
      <w:r>
        <w:br/>
        <w:t xml:space="preserve">[7] O. Ahmed, F. Tennie, L. Magri. </w:t>
      </w:r>
      <w:r>
        <w:rPr>
          <w:i/>
          <w:iCs/>
        </w:rPr>
        <w:t>Robust quantum reservoir computers for forecasting chaotic dynamics.</w:t>
      </w:r>
      <w:r>
        <w:t xml:space="preserve"> Proc. R. Soc. A 481 (2025).</w:t>
      </w:r>
      <w:r>
        <w:br/>
        <w:t>[8] A. Sakurai et al. </w:t>
      </w:r>
      <w:r>
        <w:rPr>
          <w:i/>
          <w:iCs/>
        </w:rPr>
        <w:t>Beyond Optimization: Harnessing Quantum Annealer Dynamics for Machine Learning.</w:t>
      </w:r>
      <w:r>
        <w:t xml:space="preserve"> arXiv:2601.09938 (</w:t>
      </w:r>
      <w:r>
        <w:t>2026).</w:t>
      </w:r>
      <w:r>
        <w:br/>
        <w:t xml:space="preserve">[9] F. Corsi. </w:t>
      </w:r>
      <w:r>
        <w:rPr>
          <w:i/>
          <w:iCs/>
        </w:rPr>
        <w:t>A Simple Approximate Long-Memory Model of Realized Volatility.</w:t>
      </w:r>
      <w:r>
        <w:t xml:space="preserve"> J. Fin. Econometrics 7(2), 174–196 (2009).</w:t>
      </w:r>
      <w:r>
        <w:br/>
        <w:t xml:space="preserve">[10] A. J. Patton. </w:t>
      </w:r>
      <w:r>
        <w:rPr>
          <w:i/>
          <w:iCs/>
        </w:rPr>
        <w:t>Volatility forecast comparison using imperfect volatility proxies.</w:t>
      </w:r>
      <w:r>
        <w:t xml:space="preserve"> J. Econometrics 160(1), 246–256 (2011).</w:t>
      </w:r>
      <w:r>
        <w:br/>
        <w:t xml:space="preserve">[11] T. Bollerslev. </w:t>
      </w:r>
      <w:r>
        <w:rPr>
          <w:i/>
          <w:iCs/>
        </w:rPr>
        <w:t>Generalized Autoregressive Conditional Heteroskedasticity.</w:t>
      </w:r>
      <w:r>
        <w:t xml:space="preserve"> J. Econometrics 31(3), 307–327 (1986).</w:t>
      </w:r>
      <w:r>
        <w:br/>
        <w:t xml:space="preserve">[12] J. Mincer, V. Zarnowitz. </w:t>
      </w:r>
      <w:r>
        <w:rPr>
          <w:i/>
          <w:iCs/>
        </w:rPr>
        <w:t>The Evaluation of Economic Forecasts.</w:t>
      </w:r>
      <w:r>
        <w:t xml:space="preserve"> NBER (1969).</w:t>
      </w:r>
      <w:bookmarkEnd w:id="6"/>
    </w:p>
    <w:sectPr w:rsidR="00A0004B">
      <w:footnotePr>
        <w:numRestart w:val="eachSect"/>
      </w:footnotePr>
      <w:pgSz w:w="12240" w:h="15840"/>
      <w:pgMar w:top="864" w:right="1008" w:bottom="864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049C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8780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04B"/>
    <w:rsid w:val="001E0D52"/>
    <w:rsid w:val="003D694B"/>
    <w:rsid w:val="004D0247"/>
    <w:rsid w:val="00A0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15A04"/>
  <w15:docId w15:val="{F350262C-E69E-44C6-9F19-68AB23C3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m.com/quantum/blog/open-plan-upd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1324</Words>
  <Characters>7609</Characters>
  <Application>Microsoft Office Word</Application>
  <DocSecurity>0</DocSecurity>
  <Lines>120</Lines>
  <Paragraphs>30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QRC for SPY Realized Volatility — A Hybrid that Beats GARCH(1,1)</dc:title>
  <dc:creator/>
  <cp:keywords/>
  <cp:lastModifiedBy>Grigorii Vydrevich</cp:lastModifiedBy>
  <cp:revision>2</cp:revision>
  <cp:lastPrinted>2026-05-25T21:17:00Z</cp:lastPrinted>
  <dcterms:created xsi:type="dcterms:W3CDTF">2026-05-25T21:17:00Z</dcterms:created>
  <dcterms:modified xsi:type="dcterms:W3CDTF">2026-05-25T21:17:00Z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geometry">
    <vt:lpwstr>margin=0.7in</vt:lpwstr>
  </property>
  <property fmtid="{D5CDD505-2E9C-101B-9397-08002B2CF9AE}" pid="4" name="linestretch">
    <vt:lpwstr>1</vt:lpwstr>
  </property>
  <property fmtid="{D5CDD505-2E9C-101B-9397-08002B2CF9AE}" pid="5" name="mainfont">
    <vt:lpwstr>Times New Roman</vt:lpwstr>
  </property>
  <property fmtid="{D5CDD505-2E9C-101B-9397-08002B2CF9AE}" pid="6" name="subtitle">
    <vt:lpwstr>GIC 2026 Phase 2 — Track A: Financial Volatility Prediction</vt:lpwstr>
  </property>
</Properties>
</file>