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Оганнисян Григор Амбарцумович</w:t>
            </w:r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77777777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55563C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BB4471">
              <w:t xml:space="preserve">3 </w:t>
            </w:r>
            <w:r w:rsidR="00BB4471">
              <w:fldChar w:fldCharType="end"/>
            </w:r>
          </w:hyperlink>
        </w:p>
        <w:p w14:paraId="7ADA060C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BB4471">
              <w:t xml:space="preserve">4 </w:t>
            </w:r>
            <w:r w:rsidR="00BB4471">
              <w:fldChar w:fldCharType="end"/>
            </w:r>
          </w:hyperlink>
        </w:p>
        <w:p w14:paraId="1926FACA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BB4471">
              <w:t xml:space="preserve">6 </w:t>
            </w:r>
            <w:r w:rsidR="00BB4471">
              <w:fldChar w:fldCharType="end"/>
            </w:r>
          </w:hyperlink>
        </w:p>
        <w:p w14:paraId="076FD7C0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BB4471">
              <w:t xml:space="preserve">7 </w:t>
            </w:r>
            <w:r w:rsidR="00BB4471">
              <w:fldChar w:fldCharType="end"/>
            </w:r>
          </w:hyperlink>
        </w:p>
        <w:p w14:paraId="68B49559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BB4471">
              <w:t xml:space="preserve">9 </w:t>
            </w:r>
            <w:r w:rsidR="00BB4471">
              <w:fldChar w:fldCharType="end"/>
            </w:r>
          </w:hyperlink>
        </w:p>
        <w:p w14:paraId="72D264CD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BB4471">
              <w:t xml:space="preserve">10 </w:t>
            </w:r>
            <w:r w:rsidR="00BB4471">
              <w:fldChar w:fldCharType="end"/>
            </w:r>
          </w:hyperlink>
        </w:p>
        <w:p w14:paraId="0C71F4C7" w14:textId="77777777" w:rsidR="008260D4" w:rsidRDefault="009623B8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BB4471">
              <w:t xml:space="preserve">12 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14A56738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>
        <w:rPr>
          <w:b/>
          <w:lang w:val="en-US"/>
        </w:rPr>
        <w:t>22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n-ичных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610A228D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C638B97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5CDC7488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01005F16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1C15E08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0900D2F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205087BE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681B212B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4C743986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18877C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21CF97AF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74B35AA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33FACB6C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0756292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3080D529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528401F0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60F4B7E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756797E9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6F41E87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6EA3894C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4E7FFF03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1B74A734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1F66F19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6F8C45D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4B4E8C4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4BD65E75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1F68BE5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28717CCE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04797420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2CEEC643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42689C48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229B40D7" w:rsidR="008260D4" w:rsidRPr="00FF2DD5" w:rsidRDefault="00D958DE">
            <w:pPr>
              <w:spacing w:after="0" w:line="259" w:lineRule="auto"/>
              <w:ind w:left="99" w:firstLine="0"/>
              <w:jc w:val="center"/>
              <w:rPr>
                <w:lang w:val="en-US"/>
              </w:rPr>
            </w:pPr>
            <w:r>
              <w:t>0010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274D1BA2">
            <wp:extent cx="4022090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0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0000 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0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0111 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0101 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1000 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1110 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 xml:space="preserve">14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1001 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0010 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0001 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12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1100 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12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11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1011 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11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0011 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1111 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15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1010 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13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1101 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10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13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77777777" w:rsidR="008260D4" w:rsidRDefault="00BB4471">
      <w:pPr>
        <w:spacing w:after="186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1DF22426" wp14:editId="6D617DB3">
            <wp:extent cx="5933821" cy="3186430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77777777" w:rsidR="008260D4" w:rsidRDefault="00BB4471">
      <w:pPr>
        <w:spacing w:after="11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50202932" wp14:editId="7CD95607">
            <wp:extent cx="5920994" cy="52070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994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77777777" w:rsidR="008260D4" w:rsidRDefault="00BB4471">
      <w:pPr>
        <w:spacing w:after="0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38C635D7" wp14:editId="270C5724">
            <wp:extent cx="5943854" cy="3195320"/>
            <wp:effectExtent l="0" t="0" r="0" b="0"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8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77777777" w:rsidR="008260D4" w:rsidRDefault="00BB4471">
      <w:pPr>
        <w:spacing w:after="201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1F77D859" wp14:editId="53B380C2">
            <wp:extent cx="5936234" cy="3190875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23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29613742" w14:textId="77777777" w:rsidR="008260D4" w:rsidRDefault="00BB4471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285F75AF" wp14:editId="713280EE">
            <wp:extent cx="6102350" cy="917575"/>
            <wp:effectExtent l="0" t="0" r="0" b="0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7"/>
      <w:footerReference w:type="default" r:id="rId18"/>
      <w:footerReference w:type="first" r:id="rId19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4433" w14:textId="77777777" w:rsidR="009623B8" w:rsidRDefault="009623B8">
      <w:pPr>
        <w:spacing w:after="0" w:line="240" w:lineRule="auto"/>
      </w:pPr>
      <w:r>
        <w:separator/>
      </w:r>
    </w:p>
  </w:endnote>
  <w:endnote w:type="continuationSeparator" w:id="0">
    <w:p w14:paraId="629E4EEB" w14:textId="77777777" w:rsidR="009623B8" w:rsidRDefault="0096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3B29" w14:textId="77777777" w:rsidR="009623B8" w:rsidRDefault="009623B8">
      <w:pPr>
        <w:spacing w:after="0" w:line="240" w:lineRule="auto"/>
      </w:pPr>
      <w:r>
        <w:separator/>
      </w:r>
    </w:p>
  </w:footnote>
  <w:footnote w:type="continuationSeparator" w:id="0">
    <w:p w14:paraId="106A7BE7" w14:textId="77777777" w:rsidR="009623B8" w:rsidRDefault="0096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8260D4"/>
    <w:rsid w:val="00925ADF"/>
    <w:rsid w:val="009623B8"/>
    <w:rsid w:val="00AA0BCC"/>
    <w:rsid w:val="00BB4471"/>
    <w:rsid w:val="00D958DE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3</cp:revision>
  <dcterms:created xsi:type="dcterms:W3CDTF">2023-11-24T10:33:00Z</dcterms:created>
  <dcterms:modified xsi:type="dcterms:W3CDTF">2023-12-03T07:49:00Z</dcterms:modified>
</cp:coreProperties>
</file>