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0" w:after="40"/>
      </w:pPr>
      <w:r>
        <w:rPr>
          <w:rFonts w:ascii="Arial" w:hAnsi="Arial" w:eastAsia="Arial" w:cs="Arial"/>
          <w:b/>
          <w:color w:val="8E1B1B"/>
          <w:sz w:val="52"/>
        </w:rPr>
        <w:t>ДЕЛО О ПОТЕРЯННЫХ БОНУСАХ</w:t>
      </w:r>
    </w:p>
    <w:p>
      <w:pPr>
        <w:widowControl/>
        <w:spacing w:after="180"/>
      </w:pPr>
      <w:r>
        <w:rPr>
          <w:rFonts w:ascii="Arial" w:hAnsi="Arial" w:eastAsia="Arial" w:cs="Arial"/>
          <w:b/>
          <w:color w:val="171717"/>
          <w:sz w:val="28"/>
        </w:rPr>
        <w:t>Почему нерелевантные категории уводят клиента к другим банкам — и как качество модели улучшили в 2,5 раза</w:t>
      </w:r>
    </w:p>
    <w:p>
      <w:pPr>
        <w:widowControl/>
        <w:spacing w:after="80"/>
      </w:pPr>
      <w:r>
        <w:rPr>
          <w:rFonts w:ascii="Arial" w:hAnsi="Arial" w:eastAsia="Arial" w:cs="Arial"/>
          <w:b/>
          <w:color w:val="5F6368"/>
          <w:sz w:val="19"/>
        </w:rPr>
        <w:t xml:space="preserve">Формат: </w:t>
      </w:r>
      <w:r>
        <w:rPr>
          <w:rFonts w:ascii="Arial" w:hAnsi="Arial" w:eastAsia="Arial" w:cs="Arial"/>
          <w:color w:val="5F6368"/>
          <w:sz w:val="19"/>
        </w:rPr>
        <w:t>10 слайдов  |  Аудитория: руководство  |  Жанр: расследование в стилистике нуарного комикса</w:t>
      </w:r>
    </w:p>
    <w:p>
      <w:pPr>
        <w:spacing w:after="220"/>
        <w:widowControl/>
        <w:shd w:fill="F2F2F0"/>
      </w:pPr>
      <w:r>
        <w:rPr>
          <w:rFonts w:ascii="Arial" w:hAnsi="Arial" w:eastAsia="Arial" w:cs="Arial"/>
          <w:b/>
          <w:color w:val="8E1B1B"/>
          <w:sz w:val="18"/>
        </w:rPr>
        <w:t xml:space="preserve">ОБЩИЙ ВИЗУАЛЬНЫЙ ПРИНЦИП. </w:t>
      </w:r>
      <w:r>
        <w:rPr>
          <w:rFonts w:ascii="Arial" w:hAnsi="Arial" w:eastAsia="Arial" w:cs="Arial"/>
          <w:color w:val="171717"/>
          <w:sz w:val="18"/>
        </w:rPr>
        <w:t>Черно-белые комиксные кадры, жесткий контраст, дождь, папки дела, улики и красная нить. Зеленый используется только для подтвержденных результатов; красный — для проблемы и потерь. Бизнес-мысль всегда крупнее технических пояснений. Рядом с каждой озвучкой указано число слов и лимит соответствующего слайда из DSC19_4.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1. ПЕРВЫЙ СЛЕД — КЛИЕНТ УХОДИТ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Заголовок: «Когда программа лояльности перестает быть выгодной».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Ключевая мысль: нерелевантные категории делают кешбэк труднодоступным для клиента.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Следствие: клиент предпочитает систему лояльности другого банка.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Ночной город под дождем. Клиент расплачивается картой и открывает приложение банка.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На экране — категории, не совпадающие с его привычными покупками. Счетчик бонусов почти не меняется.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Клиент закрывает приложение и выбирает карту другого банка. Комиксная плашка: «Там выгода понятнее».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30/37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Клиент хочет копить бонусы там, где он действительно покупает. Когда банк предлагает нерелевантные категории, кешбэк становится почти недоступным. Программа перестает ощущаться выгодной, и клиент начинает предпочитать системы лояльности других банков.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2. БОЛЬ — ОБЕЩАННЫЙ КЕШБЭК НЕ НАКАПЛИВАЕТСЯ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Ежемесячно клиент получает пул из 8 категорий и выбирает от 3 до 6.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Если пул не соответствует расходам клиента, подходящего выбора внутри него нет.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Результат: клиент не совершает покупки в выбранных категориях и почти не накапливает бонусы.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На столе детектива две группы улик: реальные чеки клиента и предложенные категории.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Красная нить пытается соединить группы, но совпадений почти нет.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Крупный план: шкала «Начислено бонусов» остается у нуля.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13/16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Причина — модель плохо подбирает пул категорий: клиенту не на чем зарабатывать обещанный кешбэк.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3. ВИНОВНИК — МОДЕЛЬ ПЛОХО РАЗЛИЧАЕТ ПРЕДПОЧТЕНИЯ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Модель CSI должна оценивать вероятность выбора каждой категории и передавать ее в оптимизацию оффера.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Train: 155,6 тыс. наблюдений; GINI = 0,4686.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OOS: 38,8 тыс. новых наблюдений; GINI = 0,3471.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Простое пояснение: чем ближе GINI к 1, тем лучше модель отделяет подходящие категории от неподходящих.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Папка «Модель CSI / ID 308557». Внутри — два отпечатка: Train и OOS.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Красная линия падает с 0,4686 до 0,3471. Лупа останавливается на результате OOS.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Подпись в комиксной рамке: «Ошибка возникает до формирования оффера».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24/32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Проверка показала: на новых данных GINI модели — 0,3471. Она слабо различает подходящие и неподходящие категории, поэтому ошибка возникает еще до формирования персонального оффера.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4. РЕШЕНИЕ — КАЧЕСТВО ВЫРОСЛО В 2,5 РАЗА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Главный результат на OOS: GINI 0,3471 → 0,8537.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Рост качества: примерно в 2,5 раза; абсолютный прирост +0,5066.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Разрыв Train–OOS сократился с 0,1215 до 0,0244.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Основа решения: новый target, альтернативный фич-инжиниринг, расширенная настройка обучения и комбинированная калибровка.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Детектив раскрывает вторую папку. Красная цифра 0,3471 сменяется зеленой 0,8537.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Четыре карточки-улики выкладываются вокруг результата; между ними натягивается единая зеленая нить.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Штамп: «КАЧЕСТВО ×2,5 НА НОВЫХ ДАННЫХ».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16/16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Переработанный подход повысил качество на OOS в 2,5 раза: с 0,3471 до 0,8537.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5. ДОКАЗАТЕЛЬСТВО № 1 — ИЗМЕНИЛИ TARGET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Было: общая оценка всей подборки переносилась на каждую выбранную категорию.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Проблема: модель не видела, какие категории внутри предложения клиент предпочел, а какие проигнорировал.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Стало: target формируется отдельно по каждой предложенной категории.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Изолированный результат: GINI OOS 0,3471 → 0,6716; прирост +0,3245.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Три карточки категорий получают одинаковый старый штамп «1». Детектив перечеркивает его.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В новой схеме на карточках появляются разные вердикты: «выбрана» и «проигнорирована».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Красная нить приводит к первой крупной улике: OOS = 0,6716.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17/18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Первое изменение — target. Теперь модель учится на выборе каждой предложенной категории, а не на общей оценке подборки.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6. ДОКАЗАТЕЛЬСТВО № 2 — ПЕРЕСОБРАЛИ РАБОТУ С ФАКТОРАМИ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Исходное пространство: более 1 600 факторов.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Новый подход сокращает его до 700 факторов, затем проверяет связи «число–число», «категория–категория» и «число–категория».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Финальный пул из 200 факторов формируется по вкладу их комбинаций, а не только отдельных признаков.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Изолированный эффект отбора: GINI OOS 0,3471 → 0,3574; прирост +0,0103.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Поддерживающая мера: число настраиваемых параметров обучения увеличено с 3 до 7.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Стена из 1 600 карточек-улик сокращается до 700; красные нити соединяют пары трех типов.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Слабые одиночные карточки оживают в значимых сочетаниях. В финальную папку попадают 200 факторов.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Рядом появляется компактный пульт обучения: «3 настройки → 7 настроек».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33/53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Второе изменение — альтернативный фич-инжиниринг. Мы анализируем не только отдельные признаки, но и их сочетания: числовые с числовыми, категориальные с категориальными и смешанные пары. Расширенный поиск настроек помогает модели использовать найденные связи без переобучения.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7. ДОКАЗАТЕЛЬСТВО № 3 — УЛУЧШИЛИ КАЛИБРОВКУ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Было: один метод — Platt Scaling.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Стало: комбинация Platt Scaling и Isotonic Regression.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Простое пояснение: расчетная вероятность выбора становится ближе к фактической.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Бизнес-смысл: оптимизатор получает более надежные оценки интереса клиента.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Два свидетеля дают разные показания: один стабилен, второй лучше повторяет сложную форму данных.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Детектив накладывает две кривые друг на друга; они собираются в одну зеленую линию.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Крупная подпись: «1 метод → комбинация 2 методов».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12/15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Третье изменение — комбинированная калибровка. Она приближает расчетные вероятности к реальному поведению клиентов.</w:t>
      </w:r>
    </w:p>
    <w:p>
      <w:pPr>
        <w:pStyle w:val="Heading1"/>
        <w:keepNext/>
        <w:pageBreakBefore/>
        <w:widowControl/>
      </w:pPr>
      <w:r>
        <w:rPr>
          <w:rFonts w:ascii="Arial" w:hAnsi="Arial" w:eastAsia="Arial" w:cs="Arial"/>
          <w:b/>
          <w:color w:val="171717"/>
          <w:sz w:val="32"/>
        </w:rPr>
        <w:t>БЛОК 8. КАК ЭЛЕМЕНТЫ РАБОТАЮТ ВМЕСТЕ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Target отвечает на вопрос «чему учиться»: фиксирует выбор по каждой предложенной категории.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Фич-инжиниринг отвечает на вопрос «что учитывать»: находит значимые сочетания факторов.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Расширенная настройка отвечает на вопрос «как учиться»: помогает использовать связи без лишнего переобучения.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Калибровка отвечает на вопрос «насколько доверять вероятности»: приближает прогноз к фактической частоте выбора.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Эффект последователен: качественный выход одного этапа становится входом следующего.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Четыре кадра собираются в вертикальную цепочку: правильная цель → содержательные факторы → обучение → надежная вероятность.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В каждом кадре детектив передает следующему этапу одну и ту же папку; она постепенно наполняется подтвержденными уликами.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В финале четыре зеленые линии сходятся к карточке «GINI OOS = 0,8537».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44/118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Каждый элемент устраняет собственную потерю. Новый target задает правильную цель. Альтернативный фич-инжиниринг находит значимые сочетания факторов. Расширенная настройка помогает модели использовать их без переобучения. Комбинированная калибровка превращает результат в более надежные вероятности. Вместе этапы усиливают друг друга, поэтому итог нельзя объяснить одной отдельной настройкой.</w:t>
      </w:r>
    </w:p>
    <w:p>
      <w:pPr>
        <w:pStyle w:val="EditorialNote"/>
        <w:keepLines/>
        <w:shd w:fill="FFF2CC"/>
        <w:widowControl/>
        <w:pBdr>
          <w:top w:val="single" w:sz="6" w:space="5" w:color="D6A100"/>
          <w:left w:val="single" w:sz="6" w:space="5" w:color="D6A100"/>
          <w:bottom w:val="single" w:sz="6" w:space="5" w:color="D6A100"/>
          <w:right w:val="single" w:sz="6" w:space="5" w:color="D6A100"/>
        </w:pBdr>
      </w:pPr>
      <w:r>
        <w:rPr>
          <w:rFonts w:ascii="Arial" w:hAnsi="Arial" w:eastAsia="Arial" w:cs="Arial"/>
          <w:b/>
          <w:color w:val="8E1B1B"/>
          <w:sz w:val="18"/>
        </w:rPr>
        <w:t xml:space="preserve">РЕДАКТОРСКАЯ ПОМЕТКА — НЕ ВЫВОДИТЬ НА СЛАЙД. </w:t>
      </w:r>
      <w:r>
        <w:rPr>
          <w:rFonts w:ascii="Arial" w:hAnsi="Arial" w:eastAsia="Arial" w:cs="Arial"/>
          <w:color w:val="171717"/>
          <w:sz w:val="18"/>
        </w:rPr>
        <w:t>Исходные материалы не позволяют корректно разложить весь итоговый прирост по отдельным этапам: для target и отбора факторов показаны изолированные тесты, а для настройки и калибровки отдельные значения не приведены. В Summary также повторяются промежуточные GINI при заявленном дополнительном приросте. Поэтому на слайде показывается функциональный вклад каждого элемента и только подтвержденный совокупный результат.</w:t>
      </w:r>
    </w:p>
    <w:p>
      <w:pPr>
        <w:pStyle w:val="Heading1"/>
        <w:keepNext/>
        <w:pageBreakBefore/>
        <w:widowControl/>
      </w:pPr>
      <w:r>
        <w:rPr>
          <w:rFonts w:ascii="Arial" w:hAnsi="Arial" w:eastAsia="Arial" w:cs="Arial"/>
          <w:b/>
          <w:color w:val="171717"/>
          <w:sz w:val="32"/>
        </w:rPr>
        <w:t>БЛОК 9. СИНЕРГЕТИЧЕСКИЙ ЭФФЕКТ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OOS: GINI 0,3471 → 0,8537; прирост +0,5066; рост примерно в 2,5 раза.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Train: GINI 0,4686 → 0,8781; прирост +0,4095.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Разрыв Train–OOS: 0,1215 → 0,0244 — почти пятикратное сокращение.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Вывод: улучшились одновременно точность ранжирования и устойчивость на новых данных.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Доска расследования складывается в одну стрелку. На ней четыре узла: target, факторы, обучение, калибровка.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Стрелка пробивает красную карточку 0,3471 и заканчивается зеленой карточкой 0,8537.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Финальная плашка: «Не сумма отдельных трюков — единая система».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21/22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Элементы усилили друг друга: правильный target, содержательные факторы и надежная калибровка подняли GINI на OOS с 0,3471 до 0,8537.</w:t>
      </w:r>
    </w:p>
    <w:p>
      <w:pPr>
        <w:pStyle w:val="Heading1"/>
        <w:keepNext/>
        <w:pageBreakBefore w:val="0"/>
        <w:widowControl/>
      </w:pPr>
      <w:r>
        <w:rPr>
          <w:rFonts w:ascii="Arial" w:hAnsi="Arial" w:eastAsia="Arial" w:cs="Arial"/>
          <w:b/>
          <w:color w:val="171717"/>
          <w:sz w:val="32"/>
        </w:rPr>
        <w:t>БЛОК 10. ЦЕНА ПРЕЖНЕЙ ОШИБКИ — 2 МЛН РУБЛЕЙ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КОНТЕНТ СЛАЙДА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Крупная цифра: «2 млн ₽ недоначисленных бонусов».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Причина: нерелевантный пул категорий ограничивал возможность клиента получить кешбэк за привычные покупки.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Управленческий смысл: качество рекомендации влияет не только на модельную метрику, но и на воспринимаемую ценность программы лояльности.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Финальный вывод: обновленный подход снижает риск повторения и поддерживает конкурентность программы.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ВИДЕО / ВИЗУАЛЬНЫЙ РЯД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На стол ложится последняя улика — ведомость со штампом «НЕДОНАЧИСЛЕНО: 2 000 000 ₽».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Кадр расширяется: справа карточка «Было — нерелевантные категории», слева — «Стало — точнее под интерес клиента».</w:t>
      </w:r>
    </w:p>
    <w:p>
      <w:pPr>
        <w:pStyle w:val="ListBullet"/>
        <w:keepLines/>
        <w:widowControl/>
      </w:pPr>
      <w:r>
        <w:rPr>
          <w:rFonts w:ascii="Arial" w:hAnsi="Arial" w:eastAsia="Arial" w:cs="Arial"/>
          <w:color w:val="171717"/>
          <w:sz w:val="21"/>
        </w:rPr>
        <w:t>Папка дела закрывается. Финальная надпись: «Точная рекомендация возвращает клиенту выгоду».</w:t>
      </w:r>
    </w:p>
    <w:p>
      <w:pPr>
        <w:pStyle w:val="ProductionLabel"/>
        <w:keepNext/>
        <w:widowControl/>
      </w:pPr>
      <w:r>
        <w:rPr>
          <w:rFonts w:ascii="Arial" w:hAnsi="Arial" w:eastAsia="Arial" w:cs="Arial"/>
          <w:b/>
          <w:color w:val="8E1B1B"/>
          <w:sz w:val="18"/>
        </w:rPr>
        <w:t>ОЗВУЧКА · 15/17 СЛОВ</w:t>
      </w:r>
    </w:p>
    <w:p>
      <w:pPr>
        <w:pStyle w:val="Voiceover"/>
        <w:keepLines/>
        <w:widowControl/>
        <w:shd w:fill="F2F2F0"/>
      </w:pPr>
      <w:r>
        <w:rPr>
          <w:rFonts w:ascii="Arial" w:hAnsi="Arial" w:eastAsia="Arial" w:cs="Arial"/>
          <w:i/>
          <w:color w:val="171717"/>
          <w:sz w:val="21"/>
        </w:rPr>
        <w:t>Из-за прежнего подбора клиентам недоначислили бонусов на 2 млн рублей. Новая модель снижает риск повторения.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F6368"/>
        <w:sz w:val="16"/>
      </w:rPr>
      <w:t xml:space="preserve">Модель выбора категорий кешбэка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ionLabel">
    <w:name w:val="Production Label"/>
    <w:pPr>
      <w:spacing w:before="140" w:after="60"/>
    </w:pPr>
    <w:rPr>
      <w:rFonts w:ascii="Arial" w:hAnsi="Arial"/>
      <w:b/>
      <w:color w:val="8E1B1B"/>
      <w:sz w:val="18"/>
    </w:rPr>
  </w:style>
  <w:style w:type="paragraph" w:customStyle="1" w:styleId="Voiceover">
    <w:name w:val="Voiceover"/>
    <w:pPr>
      <w:spacing w:before="40" w:after="140" w:line="269" w:lineRule="auto"/>
      <w:ind w:left="159" w:right="159"/>
    </w:pPr>
    <w:rPr>
      <w:rFonts w:ascii="Arial" w:hAnsi="Arial"/>
      <w:i/>
      <w:sz w:val="21"/>
    </w:rPr>
  </w:style>
  <w:style w:type="paragraph" w:customStyle="1" w:styleId="EditorialNote">
    <w:name w:val="Editorial Note"/>
    <w:pPr>
      <w:spacing w:before="60" w:after="140" w:line="252" w:lineRule="auto"/>
      <w:ind w:left="159" w:right="159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Дело о потерянных бонусах — сценарий презентации</dc:title>
  <dc:subject>Повышение качества модели выбора категорий кешбэка</dc:subject>
  <dc:creator/>
  <cp:keywords>сценарий, презентация, модель, кешбэк, GINI, нуар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