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CD4DD" w14:textId="77777777" w:rsidR="00A149F8" w:rsidRDefault="00B84485">
      <w:pPr>
        <w:keepNext/>
        <w:pageBreakBefore/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Постоянное появление новых угроз и развитие способов атак требуют регулярного обновления знаний, используемых при защите информационных систем [1]. Киберразведка (англ. Threat Intelligence, TI) обеспечивает сбор и анализ сведений об угрозах для принятия решений в области информационной безопасности (ИБ) [2, 3]. В условиях нехватки квалифицированных ИБ-специалистов возрастает значение рационального использования времени аналитиков [4].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Источниками сведений для киберразведки служат в том числе аналитические отчёты и технические статьи, содержащие описания объектов угроз и связей между ними [5, 6]. Научные публикации дополняют эти материалы результатами исследования методов атак и защиты, условиями проверки и ограничениями применимости [7]. Для дальнейшего использования содержание публикации необходимо отобрать и представить в терминах, принятых в киберразведке [8].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При этом объём научной литературы растёт: в категории Cryptography and Security (cs.CR) архива arXiv число записей увеличилось с 3 707 в 2020 году до 7 924 в 2025 году [9]. Поиск подходящих работ, изучение содержания и подготовка сведений требуют повторяющихся действий аналитика. Существующие инструменты поддерживают отдельные этапы этой работы, однако их применение к задачам киберразведки требует настройки структуры извлекаемых сведений и проверки результатов по первоисточнику. Большие языковые модели (англ. Large Language Models, LLM) рассматриваются как средство автоматизации содержательной обработки текстов [10].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связи с этим цель дипломной работы — разработать и экспериментально оценить систему периодического поиска и анализа научных публикаций в области ИБ для обогащения материалов киберразведки с использованием больших языковых моделей.</w:t>
      </w:r>
    </w:p>
    <w:p>
      <w:pPr>
        <w:keepNext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достижения поставленной цели необходимо решить следующие задачи:</w:t>
      </w:r>
    </w:p>
    <w:p>
      <w:pPr>
        <w:keepLines/>
        <w:widowControl/>
        <w:numPr>
          <w:ilvl w:val="0"/>
          <w:numId w:val="3"/>
        </w:numPr>
        <w:spacing w:line="360" w:lineRule="auto" w:before="0" w:after="0"/>
        <w:ind w:left="709" w:hanging="425"/>
        <w:jc w:val="both"/>
      </w:pPr>
      <w:r>
        <w:rPr>
          <w:rFonts w:ascii="Times New Roman" w:hAnsi="Times New Roman"/>
          <w:color w:val="000000"/>
          <w:sz w:val="28"/>
        </w:rPr>
        <w:t>Проанализировать источники информации, решения киберразведки и инструменты работы с научными публикациями;</w:t>
      </w:r>
    </w:p>
    <w:p>
      <w:pPr>
        <w:keepLines/>
        <w:widowControl/>
        <w:numPr>
          <w:ilvl w:val="0"/>
          <w:numId w:val="3"/>
        </w:numPr>
        <w:spacing w:line="360" w:lineRule="auto" w:before="0" w:after="0"/>
        <w:ind w:left="709" w:hanging="425"/>
        <w:jc w:val="both"/>
      </w:pPr>
      <w:r>
        <w:rPr>
          <w:rFonts w:ascii="Times New Roman" w:hAnsi="Times New Roman"/>
          <w:color w:val="000000"/>
          <w:sz w:val="28"/>
        </w:rPr>
        <w:t>Определить требования к системе и состав извлекаемых сведений, обосновать выбор языковой модели и способа её использования;</w:t>
      </w:r>
    </w:p>
    <w:p>
      <w:pPr>
        <w:keepLines/>
        <w:widowControl/>
        <w:numPr>
          <w:ilvl w:val="0"/>
          <w:numId w:val="3"/>
        </w:numPr>
        <w:spacing w:line="360" w:lineRule="auto" w:before="0" w:after="0"/>
        <w:ind w:left="709" w:hanging="425"/>
        <w:jc w:val="both"/>
      </w:pPr>
      <w:r>
        <w:rPr>
          <w:rFonts w:ascii="Times New Roman" w:hAnsi="Times New Roman"/>
          <w:color w:val="000000"/>
          <w:sz w:val="28"/>
        </w:rPr>
        <w:t>Спроектировать и реализовать систему периодического мониторинга, тематического отбора и анализа публикаций, хранения и представления результатов;</w:t>
      </w:r>
    </w:p>
    <w:p>
      <w:pPr>
        <w:keepLines/>
        <w:widowControl/>
        <w:numPr>
          <w:ilvl w:val="0"/>
          <w:numId w:val="3"/>
        </w:numPr>
        <w:spacing w:line="360" w:lineRule="auto" w:before="0" w:after="0"/>
        <w:ind w:left="709" w:hanging="425"/>
        <w:jc w:val="both"/>
      </w:pPr>
      <w:r>
        <w:rPr>
          <w:rFonts w:ascii="Times New Roman" w:hAnsi="Times New Roman"/>
          <w:color w:val="000000"/>
          <w:sz w:val="28"/>
        </w:rPr>
        <w:t>Разработать методику оценки и подготовить набор публикаций с эталонными результатами;</w:t>
      </w:r>
    </w:p>
    <w:p>
      <w:pPr>
        <w:keepLines/>
        <w:widowControl/>
        <w:numPr>
          <w:ilvl w:val="0"/>
          <w:numId w:val="3"/>
        </w:numPr>
        <w:spacing w:line="360" w:lineRule="auto" w:before="0" w:after="0"/>
        <w:ind w:left="709" w:hanging="425"/>
        <w:jc w:val="both"/>
      </w:pPr>
      <w:r>
        <w:rPr>
          <w:rFonts w:ascii="Times New Roman" w:hAnsi="Times New Roman"/>
          <w:color w:val="000000"/>
          <w:sz w:val="28"/>
        </w:rPr>
        <w:t>Экспериментально оценить качество извлечения, время обработки и затраты времени аналитика с системой и без неё, учитывая проверку и исправление записей.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Объект исследования — процессы получения и анализа информации для обогащения киберразведки.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Предмет исследования — методы и средства автоматизированного поиска и анализа научных публикаций в области ИБ с применением LLM.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Актуальность исследования обусловлена ростом потока публикаций и необходимостью систематически использовать научные результаты в киберразведке. Практическая значимость работы заключается в создании программного средства для подготовки структурированных сведений, связанных с подтверждающим текстом. Его полезность определяется качеством получаемой информации и изменением трудозатрат аналитика.</w:t>
      </w:r>
    </w:p>
    <w:p w14:paraId="39004784" w14:textId="77777777" w:rsidR="00A149F8" w:rsidRDefault="00B84485">
      <w:pPr>
        <w:pStyle w:val="Heading1"/>
        <w:keepNext/>
        <w:pageBreakBefore/>
        <w:spacing w:after="24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Анализ предметной области, решений киберразведки и средств обработки научных публикаций</w:t>
      </w:r>
    </w:p>
    <w:p w14:paraId="5AC47735" w14:textId="77777777" w:rsidR="00A149F8" w:rsidRDefault="00B84485">
      <w:pPr>
        <w:pStyle w:val="Heading2"/>
        <w:keepNext/>
        <w:spacing w:before="24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1.1 Понятие и задачи киберразведки</w:t>
      </w:r>
    </w:p>
    <w:p w14:paraId="3E1E0771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настоящей работе киберразведка (Threat Intelligence, TI) понимается как процесс подготовки сведений об угрозах для принятия обоснованных решений по обеспечению безопасности. Он включает сбор, анализ и интерпретацию данных о целях, инструментах и способах действий злоумышленников [2, 3].</w:t>
      </w:r>
    </w:p>
    <w:p w14:paraId="21105611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Ценность таких сведений определяется контекстом. Например, хеш-сумма идентифицирует файл, а информация о его связи с вредоносной активностью, поведении и времени наблюдения позволяет оценивать угрозу для защищаемой инфраструктуры. Поэтому при анализе необходимо устанавливать происхождение данных и связи между объектами [11].</w:t>
      </w:r>
    </w:p>
    <w:p w14:paraId="62ABBDB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начинается с определения информационных потребностей организации и продолжается сбором, подготовкой и анализом данных. Результаты передаются специалистам, а обратная связь используется для уточнения дальнейших задач [2]. На этапе подготовки выбирают источники, устраняют дубликаты и согласуют представление полученных сведений [6].</w:t>
      </w:r>
    </w:p>
    <w:p w14:paraId="13A2A35F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Обогащение дополняет исходные сведения контекстом, необходимым для их интерпретации. Например, BI.ZONE Threat Intelligence связывает индикаторы с известными угрозами, методами и инструментами злоумышленников [12]. Такие связи помогают перейти от обнаруженного объекта к пониманию возможного способа атаки.</w:t>
      </w:r>
    </w:p>
    <w:p w14:paraId="61623DFD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описания поведения используются тактики, техники и процедуры (Tactics, Techniques and Procedures, TTP). Тактика определяет цель действия, техника — способ её достижения, процедура — конкретную реализацию. База знаний MITRE ATT&amp;CK систематизирует тактики и техники и позволяет сопоставлять способы действий злоумышленников [8].</w:t>
      </w:r>
    </w:p>
    <w:p w14:paraId="10F101E2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Подготовленные сведения применяются при расследовании событий, проактивном поиске угроз и составлении аналитических отчётов [12]. Содержание результата зависит от информационной потребности, поэтому далее рассматриваются источники и формы представления данных, пригодных для такого анализа.</w:t>
      </w:r>
    </w:p>
    <w:p w14:paraId="5E98D4CA" w14:textId="77777777" w:rsidR="00A149F8" w:rsidRDefault="00B84485">
      <w:pPr>
        <w:pStyle w:val="Heading2"/>
        <w:keepNext/>
        <w:spacing w:before="24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1.2 Источники информации Threat Intelligence</w:t>
      </w:r>
    </w:p>
    <w:p w14:paraId="2828348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отношению к защищаемой организации источники делятся на внутренние и внешние. К первым относятся журналы событий, сетевая активность и материалы расследований; ко вторым — сведения поставщиков и открытых ресурсов [6, 11]. Внешние источники расширяют наблюдения организации и предоставляют как подготовленные данные, так и исходные материалы для анализа.</w:t>
      </w:r>
    </w:p>
    <w:p w14:paraId="2851D28E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Сведения могут быть организованы в виде баз знаний, аналитических порталов, потоков данных и текстовых материалов. Например, MITRE ATT&amp;CK систематизирует поведение злоумышленников [8], а BI.ZONE Threat Intelligence предоставляет средства исследования угроз и экспорта данных [12]. Форма предоставления определяет доступные операции с информацией.</w:t>
      </w:r>
    </w:p>
    <w:p w14:paraId="6607557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 TI-фидом (Threat Intelligence Feed) понимается обновляемый поток структурированных записей об угрозах для использования в других системах. F6 предоставляет такие данные через программный интерфейс (API) [13], Kaspersky — в тематических потоках с различным составом и периодичностью обновления [14].</w:t>
      </w:r>
    </w:p>
    <w:p w14:paraId="4266CC2A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Индикаторы компрометации (Indicators of Compromise, IoC) — технические данные для обнаружения вредоносных объектов или процессов [11]. К ним относятся связанные с угрозами IP-адреса, домены, URL и хеши файлов. Состав индикаторов зависит от назначения потока: в Kaspersky отдельно представлены вредоносные и фишинговые ссылки, репутация IP-адресов и хеши вредоносных файлов [14].</w:t>
      </w:r>
    </w:p>
    <w:p w14:paraId="00BEB153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 STIX (Structured Threat Information Expression) 2.1 описывает индикаторы, вредоносные программы, уязвимости, участников угроз, методы атак и отношения между ними [15]. Эти объекты образуют контекст записи, однако наличие соответствующих типов в модели не означает их присутствия в каждой выгрузке.</w:t>
      </w:r>
    </w:p>
    <w:p w14:paraId="192CC134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передачи сведений применяется TAXII (Trusted Automated Exchange of Intelligence Information), определяющий обмен через программный интерфейс по HTTPS [16]. STIX задаёт представление данных, TAXII — механизм передачи; наличие API само по себе не подтверждает поддержку этих стандартов.</w:t>
      </w:r>
    </w:p>
    <w:p w14:paraId="64FC9E06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Текстовые источники содержат описания угроз и взаимосвязей, которые требуется извлекать при анализе. Такая задача исследуется в ThreatKG на открытых аналитических отчётах и технических статьях [5]. Обработка текста дополняет получение готовых индикаторов.</w:t>
      </w:r>
    </w:p>
    <w:p w14:paraId="4A47423B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Научные публикации позволяют изучать методы вместе с результатами их проверки [6, 11]. Для использования этих результатов необходимо выделить объект исследования, условия получения выводов и ограничения применимости. При этом предложенный сценарий, лабораторный эксперимент и наблюдение реальной атаки должны различаться в итоговом представлении.</w:t>
      </w:r>
    </w:p>
    <w:p w14:paraId="2AC49EC3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Таким образом, сравнение источников должно учитывать состав сведений, происхождение, актуальность и способы передачи. Далее рассматриваются готовые TI-решения и инструменты, позволяющие получать дополнительные сведения из научных публикаций.</w:t>
      </w:r>
    </w:p>
    <w:p w14:paraId="540B63B3" w14:textId="77777777" w:rsidR="00A149F8" w:rsidRDefault="00B84485">
      <w:pPr>
        <w:pStyle w:val="Heading2"/>
        <w:keepNext/>
        <w:spacing w:before="24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 Анализ существующих решений Threat Intelligence</w:t>
      </w:r>
    </w:p>
    <w:p w14:paraId="53FCA11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 TI-решений позволяет установить, какие сведения уже доступны аналитику и как они организованы. Последующее сравнение инструментов работы с публикациями показывает, какие операции необходимы для дополнения этих сведений научными результатами.</w:t>
      </w:r>
    </w:p>
    <w:p w14:paraId="1DBCF21C" w14:textId="77777777" w:rsidR="00A149F8" w:rsidRDefault="00B84485">
      <w:pPr>
        <w:pStyle w:val="Heading3"/>
        <w:keepNext/>
        <w:spacing w:before="12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1.3.1 Выбор решений и критерии сравнения</w:t>
      </w:r>
    </w:p>
    <w:p w14:paraId="74A0CE39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Выбраны десять решений, представляющих коммерческие потоки, аналитические платформы, обмен данными и специализированные открытые источники. Отбор учитывал связь с исследуемыми операциями и наличие документальных оснований оценок (таблица 1.1).</w:t>
      </w:r>
    </w:p>
    <w:p w14:paraId="5814476F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каждого решения указан объект сравнения: фид, интерфейс, карточка или выгрузка. Это позволяет различать возможности продукта и состав передаваемой записи: сведения, доступные в портале, могут отсутствовать в конкретном потоке или экспорте.</w:t>
      </w:r>
    </w:p>
    <w:p w14:paraId="1D05485D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1.1 — Рассмотренные TI-решения и объекты сравнения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3118"/>
        <w:gridCol w:w="3685"/>
      </w:tblGrid>
      <w:tr w:rsidR="00A149F8" w14:paraId="4595A3C3" w14:textId="77777777">
        <w:trPr>
          <w:cantSplit/>
          <w:tblHeader/>
        </w:trPr>
        <w:tc>
          <w:tcPr>
            <w:tcW w:w="2551" w:type="dxa"/>
            <w:vAlign w:val="center"/>
            <w:shd w:fill="FFFFFF" w:val="clear" w:color="auto"/>
          </w:tcPr>
          <w:p w14:paraId="6EB5E5D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3118" w:type="dxa"/>
            <w:vAlign w:val="center"/>
            <w:shd w:fill="FFFFFF" w:val="clear" w:color="auto"/>
          </w:tcPr>
          <w:p w14:paraId="53400D1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685" w:type="dxa"/>
            <w:vAlign w:val="center"/>
            <w:shd w:fill="FFFFFF" w:val="clear" w:color="auto"/>
          </w:tcPr>
          <w:p w14:paraId="5B4372B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Объект сравнения</w:t>
            </w:r>
          </w:p>
        </w:tc>
      </w:tr>
      <w:tr w:rsidR="00A149F8" w:rsidRPr="00861EFB" w14:paraId="44369596" w14:textId="77777777">
        <w:trPr>
          <w:cantSplit/>
        </w:trPr>
        <w:tc>
          <w:tcPr>
            <w:tcW w:w="2551" w:type="dxa"/>
            <w:vAlign w:val="center"/>
            <w:shd w:fill="FFFFFF" w:val="clear" w:color="auto"/>
          </w:tcPr>
          <w:p w14:paraId="18B8474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Коммерческие потоки данных</w:t>
            </w:r>
          </w:p>
        </w:tc>
        <w:tc>
          <w:tcPr>
            <w:tcW w:w="3118" w:type="dxa"/>
            <w:vAlign w:val="center"/>
            <w:shd w:fill="FFFFFF" w:val="clear" w:color="auto"/>
          </w:tcPr>
          <w:p w14:paraId="70936E05" w14:textId="77777777" w:rsidR="00A149F8" w:rsidRPr="00364EE0" w:rsidRDefault="00B84485">
            <w:pPr>
              <w:keepNext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Kaspersky Threat Data Feeds; F6 Threat Intelligence Feeds; PT Threat Intelligence Feeds</w:t>
            </w:r>
          </w:p>
        </w:tc>
        <w:tc>
          <w:tcPr>
            <w:tcW w:w="3685" w:type="dxa"/>
            <w:vAlign w:val="center"/>
            <w:shd w:fill="FFFFFF" w:val="clear" w:color="auto"/>
          </w:tcPr>
          <w:p w14:paraId="62F09FFD" w14:textId="77777777" w:rsidR="00A149F8" w:rsidRPr="00364EE0" w:rsidRDefault="00B84485">
            <w:pPr>
              <w:keepNext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фиды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Kaspersky;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линейки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F6 Threat Intelligence;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описание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фидов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PT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выгрузок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PT Fusion</w:t>
            </w:r>
          </w:p>
        </w:tc>
      </w:tr>
      <w:tr w:rsidR="00A149F8" w14:paraId="19790462" w14:textId="77777777">
        <w:trPr>
          <w:cantSplit/>
        </w:trPr>
        <w:tc>
          <w:tcPr>
            <w:tcW w:w="2551" w:type="dxa"/>
            <w:vAlign w:val="center"/>
            <w:shd w:fill="FFFFFF" w:val="clear" w:color="auto"/>
          </w:tcPr>
          <w:p w14:paraId="7D156BD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Аналитические платформы</w:t>
            </w:r>
          </w:p>
        </w:tc>
        <w:tc>
          <w:tcPr>
            <w:tcW w:w="3118" w:type="dxa"/>
            <w:vAlign w:val="center"/>
            <w:shd w:fill="FFFFFF" w:val="clear" w:color="auto"/>
          </w:tcPr>
          <w:p w14:paraId="39D5FFFA" w14:textId="77777777" w:rsidR="00A149F8" w:rsidRPr="00364EE0" w:rsidRDefault="00B84485">
            <w:pPr>
              <w:keepNext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BI.ZONE Threat Intelligence; Recorded Future; VirusTotal</w:t>
            </w:r>
          </w:p>
        </w:tc>
        <w:tc>
          <w:tcPr>
            <w:tcW w:w="3685" w:type="dxa"/>
            <w:vAlign w:val="center"/>
            <w:shd w:fill="FFFFFF" w:val="clear" w:color="auto"/>
          </w:tcPr>
          <w:p w14:paraId="61C9E59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Карточка индикатора и выгрузки портала BI.ZONE; сервис STIX/TAXII 2.1 и списки риска Recorded Future; коллекции и объекты API VirusTotal</w:t>
            </w:r>
          </w:p>
        </w:tc>
      </w:tr>
      <w:tr w:rsidR="00A149F8" w14:paraId="0F07820E" w14:textId="77777777">
        <w:trPr>
          <w:cantSplit/>
        </w:trPr>
        <w:tc>
          <w:tcPr>
            <w:tcW w:w="2551" w:type="dxa"/>
            <w:vAlign w:val="center"/>
            <w:shd w:fill="FFFFFF" w:val="clear" w:color="auto"/>
          </w:tcPr>
          <w:p w14:paraId="52A9DE1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Платформа обмена</w:t>
            </w:r>
          </w:p>
        </w:tc>
        <w:tc>
          <w:tcPr>
            <w:tcW w:w="3118" w:type="dxa"/>
            <w:vAlign w:val="center"/>
            <w:shd w:fill="FFFFFF" w:val="clear" w:color="auto"/>
          </w:tcPr>
          <w:p w14:paraId="59BB1FC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AlienVault OTX</w:t>
            </w:r>
          </w:p>
        </w:tc>
        <w:tc>
          <w:tcPr>
            <w:tcW w:w="3685" w:type="dxa"/>
            <w:vAlign w:val="center"/>
            <w:shd w:fill="FFFFFF" w:val="clear" w:color="auto"/>
          </w:tcPr>
          <w:p w14:paraId="7ABF114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публикация Pulse и TAXII-сервер</w:t>
            </w:r>
          </w:p>
        </w:tc>
      </w:tr>
      <w:tr w:rsidR="00A149F8" w:rsidRPr="00861EFB" w14:paraId="5F981D4C" w14:textId="77777777">
        <w:trPr>
          <w:cantSplit/>
        </w:trPr>
        <w:tc>
          <w:tcPr>
            <w:tcW w:w="2551" w:type="dxa"/>
            <w:vAlign w:val="center"/>
            <w:shd w:fill="FFFFFF" w:val="clear" w:color="auto"/>
          </w:tcPr>
          <w:p w14:paraId="2E1506D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Специализированные источники</w:t>
            </w:r>
          </w:p>
        </w:tc>
        <w:tc>
          <w:tcPr>
            <w:tcW w:w="3118" w:type="dxa"/>
            <w:vAlign w:val="center"/>
            <w:shd w:fill="FFFFFF" w:val="clear" w:color="auto"/>
          </w:tcPr>
          <w:p w14:paraId="77B5137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ThreatFox; URLhaus; MalwareBazaar</w:t>
            </w:r>
          </w:p>
        </w:tc>
        <w:tc>
          <w:tcPr>
            <w:tcW w:w="3685" w:type="dxa"/>
            <w:vAlign w:val="center"/>
            <w:shd w:fill="FFFFFF" w:val="clear" w:color="auto"/>
          </w:tcPr>
          <w:p w14:paraId="78B8AB7F" w14:textId="77777777" w:rsidR="00A149F8" w:rsidRPr="00364EE0" w:rsidRDefault="00B84485">
            <w:pPr>
              <w:keepNext w:val="0"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Community API ThreatFox;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выгрузка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URLhaus Plain-Text URL List;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ответ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Community API MalwareBazaar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образце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файла</w:t>
            </w:r>
          </w:p>
        </w:tc>
      </w:tr>
    </w:tbl>
    <w:p w14:paraId="69A8D7AE" w14:textId="77777777" w:rsidR="00A149F8" w:rsidRPr="00364EE0" w:rsidRDefault="00A149F8">
      <w:pPr>
        <w:spacing w:after="0" w:line="240" w:lineRule="auto"/>
        <w:ind w:firstLine="709"/>
        <w:jc w:val="both"/>
        <w:rPr>
          <w:lang w:val="en-US"/>
        </w:rPr>
      </w:pPr>
    </w:p>
    <w:p w14:paraId="0D671DB5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выведены из требований к данным об угрозах: наличия контекста, актуализации, учёта доверия к источнику и значимости индикатора, сохранения сведений при передаче [6]. Соответствие требований пяти группам критериев приведено в таблице 1.2.</w:t>
      </w:r>
    </w:p>
    <w:p w14:paraId="47EB6705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 1.2 — Требования к данным об угрозах и критерии сравнения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A149F8" w14:paraId="41623DF3" w14:textId="77777777">
        <w:trPr>
          <w:cantSplit/>
          <w:tblHeader/>
        </w:trPr>
        <w:tc>
          <w:tcPr>
            <w:tcW w:w="3600" w:type="dxa"/>
            <w:vAlign w:val="center"/>
            <w:shd w:fill="FFFFFF" w:val="clear" w:color="auto"/>
          </w:tcPr>
          <w:p w14:paraId="2CDC02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Требование к данным об угрозах</w:t>
            </w:r>
          </w:p>
        </w:tc>
        <w:tc>
          <w:tcPr>
            <w:tcW w:w="5755" w:type="dxa"/>
            <w:vAlign w:val="center"/>
            <w:shd w:fill="FFFFFF" w:val="clear" w:color="auto"/>
          </w:tcPr>
          <w:p w14:paraId="0F58167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Критерий сравнения</w:t>
            </w:r>
          </w:p>
        </w:tc>
      </w:tr>
      <w:tr w:rsidR="00A149F8" w14:paraId="17121067" w14:textId="77777777">
        <w:trPr>
          <w:cantSplit/>
        </w:trPr>
        <w:tc>
          <w:tcPr>
            <w:tcW w:w="3600" w:type="dxa"/>
            <w:vAlign w:val="center"/>
            <w:shd w:fill="FFFFFF" w:val="clear" w:color="auto"/>
          </w:tcPr>
          <w:p w14:paraId="70EF7D0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Сопоставимость с наблюдаемыми событиями</w:t>
            </w:r>
          </w:p>
        </w:tc>
        <w:tc>
          <w:tcPr>
            <w:tcW w:w="5755" w:type="dxa"/>
            <w:vAlign w:val="center"/>
            <w:shd w:fill="FFFFFF" w:val="clear" w:color="auto"/>
          </w:tcPr>
          <w:p w14:paraId="2E9B4E2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Типы индикаторов: хеши файлов и алгоритмы хеширования, IP-адреса и версии протокола, домены, URL, адреса электронной почты</w:t>
            </w:r>
          </w:p>
        </w:tc>
      </w:tr>
      <w:tr w:rsidR="00A149F8" w14:paraId="02D20A5A" w14:textId="77777777">
        <w:trPr>
          <w:cantSplit/>
        </w:trPr>
        <w:tc>
          <w:tcPr>
            <w:tcW w:w="3600" w:type="dxa"/>
            <w:vAlign w:val="center"/>
            <w:shd w:fill="FFFFFF" w:val="clear" w:color="auto"/>
          </w:tcPr>
          <w:p w14:paraId="2B0BF7E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Контекст для интерпретации</w:t>
            </w:r>
          </w:p>
        </w:tc>
        <w:tc>
          <w:tcPr>
            <w:tcW w:w="5755" w:type="dxa"/>
            <w:vAlign w:val="center"/>
            <w:shd w:fill="FFFFFF" w:val="clear" w:color="auto"/>
          </w:tcPr>
          <w:p w14:paraId="0532A43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CVE, вредоносные программы и семейства, группировки, тактики и техники MITRE ATT&amp;CK</w:t>
            </w:r>
          </w:p>
        </w:tc>
      </w:tr>
      <w:tr w:rsidR="00A149F8" w14:paraId="2D3598BF" w14:textId="77777777">
        <w:trPr>
          <w:cantSplit/>
        </w:trPr>
        <w:tc>
          <w:tcPr>
            <w:tcW w:w="3600" w:type="dxa"/>
            <w:vAlign w:val="center"/>
            <w:shd w:fill="FFFFFF" w:val="clear" w:color="auto"/>
          </w:tcPr>
          <w:p w14:paraId="4EE3DFA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Актуальность</w:t>
            </w:r>
          </w:p>
        </w:tc>
        <w:tc>
          <w:tcPr>
            <w:tcW w:w="5755" w:type="dxa"/>
            <w:vAlign w:val="center"/>
            <w:shd w:fill="FFFFFF" w:val="clear" w:color="auto"/>
          </w:tcPr>
          <w:p w14:paraId="17081C6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</w:t>
            </w:r>
          </w:p>
        </w:tc>
      </w:tr>
      <w:tr w:rsidR="00A149F8" w14:paraId="16F1114D" w14:textId="77777777">
        <w:trPr>
          <w:cantSplit/>
        </w:trPr>
        <w:tc>
          <w:tcPr>
            <w:tcW w:w="3600" w:type="dxa"/>
            <w:vAlign w:val="center"/>
            <w:shd w:fill="FFFFFF" w:val="clear" w:color="auto"/>
          </w:tcPr>
          <w:p w14:paraId="7C31934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Доверие к источнику и значимость индикатора</w:t>
            </w:r>
          </w:p>
        </w:tc>
        <w:tc>
          <w:tcPr>
            <w:tcW w:w="5755" w:type="dxa"/>
            <w:vAlign w:val="center"/>
            <w:shd w:fill="FFFFFF" w:val="clear" w:color="auto"/>
          </w:tcPr>
          <w:p w14:paraId="14EB037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Происхождение и ссылки; оценка опасности или достоверности</w:t>
            </w:r>
          </w:p>
        </w:tc>
      </w:tr>
      <w:tr w:rsidR="00A149F8" w14:paraId="6BBFB587" w14:textId="77777777">
        <w:trPr>
          <w:cantSplit/>
        </w:trPr>
        <w:tc>
          <w:tcPr>
            <w:tcW w:w="3600" w:type="dxa"/>
            <w:vAlign w:val="center"/>
            <w:shd w:fill="FFFFFF" w:val="clear" w:color="auto"/>
          </w:tcPr>
          <w:p w14:paraId="3931705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Пригодность к автоматической загрузке</w:t>
            </w:r>
          </w:p>
        </w:tc>
        <w:tc>
          <w:tcPr>
            <w:tcW w:w="5755" w:type="dxa"/>
            <w:vAlign w:val="center"/>
            <w:shd w:fill="FFFFFF" w:val="clear" w:color="auto"/>
          </w:tcPr>
          <w:p w14:paraId="38B0A53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Выдача STIX; собственная выдача TAXII</w:t>
            </w:r>
          </w:p>
        </w:tc>
      </w:tr>
    </w:tbl>
    <w:p w14:paraId="34A3E7DE" w14:textId="77777777" w:rsidR="00A149F8" w:rsidRDefault="00A149F8">
      <w:pPr>
        <w:spacing w:after="0" w:line="240" w:lineRule="auto"/>
        <w:ind w:firstLine="709"/>
        <w:jc w:val="both"/>
      </w:pPr>
    </w:p>
    <w:p w14:paraId="0F02F1D0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Всего используются девятнадцать критериев. Предметный контекст выделен отдельно, поскольку связывает индикаторы с методами атак. В основных таблицах типы индикаторов и стандарты выдачи сгруппированы; различия в алгоритмах хеширования и версиях IP приведены в приложении А.</w:t>
      </w:r>
    </w:p>
    <w:p w14:paraId="7F037AF2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Оценки основаны на документации, справочных материалах и спецификациях интерфейсов. Значение «Да» означает документированную возможность, «Нет» — явно описанное ограничение, «Не установлено» (НУ) — недостаток сведений. НУ не подтверждает отсутствия функции. Оценки относятся к объектам сравнения, указанным в таблице 1.1. Ссылки на источники отдельных оценок, распределение оснований и ограничения обзора приведены в приложении А.</w:t>
      </w:r>
    </w:p>
    <w:p w14:paraId="43909392" w14:textId="77777777" w:rsidR="00A149F8" w:rsidRDefault="00B84485">
      <w:pPr>
        <w:pStyle w:val="Heading3"/>
        <w:keepNext/>
        <w:spacing w:before="12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1.3.2 Состав сведений в рассмотренных решениях</w:t>
      </w:r>
    </w:p>
    <w:p w14:paraId="1C7A130B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Коммерческие фиды передают подготовленные сведения для средств защиты. Kaspersky предоставляет тематические потоки индикаторов с контекстом, состав которого зависит от потока [14, 17, 18]. F6 описывает API-сервис данных для блокировки опасных объектов; сведения о вредоносном ПО, группировках, уязвимостях и ATT&amp;CK установлены для линейки TI в целом, поэтому оценены на уровне продукта [13, 19]. PT Threat Intelligence Feeds связывает индикаторы с семействами вредоносного ПО и APT-группировками [20].</w:t>
      </w:r>
    </w:p>
    <w:p w14:paraId="12396005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Аналитические платформы расширяют контекст связями объектов. BI.ZONE содержит профили угроз и матрицу ATT&amp;CK [12], Recorded Future возвращает связанные группировки и техники при обогащении [21, 22], VirusTotal объединяет индикаторы в коллекции со связями с группировками и названиями семейств вредоносного ПО [23].</w:t>
      </w:r>
    </w:p>
    <w:p w14:paraId="3E255D2F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AlienVault OTX публикация Pulse объединяет индикаторы с описанием угрозы; часть предметного контекста относится к Pulse в целом [24]. Специализированные источники abuse.ch различаются назначением: ThreatFox связывает индикаторы с вредоносным ПО [25], выбранная выгрузка URLhaus содержит только URL [26], MalwareBazaar — хеши образца и известное семейство вредоносного ПО [27].</w:t>
      </w:r>
    </w:p>
    <w:p w14:paraId="3A74A4D9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сравнения состава сведений приведены в таблице 1.3.</w:t>
      </w:r>
    </w:p>
    <w:p w14:paraId="27E4EB54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1.3 — Состав сведений в рассмотренных TI-решениях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00"/>
        <w:gridCol w:w="2105"/>
        <w:gridCol w:w="700"/>
        <w:gridCol w:w="700"/>
        <w:gridCol w:w="1400"/>
        <w:gridCol w:w="1100"/>
        <w:gridCol w:w="1250"/>
      </w:tblGrid>
      <w:tr w:rsidR="00A149F8" w14:paraId="10048A6A" w14:textId="77777777">
        <w:trPr>
          <w:cantSplit/>
          <w:tblHeader/>
        </w:trPr>
        <w:tc>
          <w:tcPr>
            <w:tcW w:w="2100" w:type="dxa"/>
            <w:vAlign w:val="center"/>
            <w:shd w:fill="FFFFFF" w:val="clear" w:color="auto"/>
          </w:tcPr>
          <w:p w14:paraId="1424CED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Решение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631F88A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Тип индикатора</w:t>
            </w:r>
          </w:p>
        </w:tc>
        <w:tc>
          <w:tcPr>
            <w:tcW w:w="700" w:type="dxa"/>
            <w:vAlign w:val="center"/>
            <w:shd w:fill="FFFFFF" w:val="clear" w:color="auto"/>
          </w:tcPr>
          <w:p w14:paraId="4BC9A51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CVE</w:t>
            </w:r>
          </w:p>
        </w:tc>
        <w:tc>
          <w:tcPr>
            <w:tcW w:w="700" w:type="dxa"/>
            <w:vAlign w:val="center"/>
            <w:shd w:fill="FFFFFF" w:val="clear" w:color="auto"/>
          </w:tcPr>
          <w:p w14:paraId="11CF2EF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ВПО</w:t>
            </w:r>
          </w:p>
        </w:tc>
        <w:tc>
          <w:tcPr>
            <w:tcW w:w="1400" w:type="dxa"/>
            <w:vAlign w:val="center"/>
            <w:shd w:fill="FFFFFF" w:val="clear" w:color="auto"/>
          </w:tcPr>
          <w:p w14:paraId="5449516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Группировка</w:t>
            </w:r>
          </w:p>
        </w:tc>
        <w:tc>
          <w:tcPr>
            <w:tcW w:w="1100" w:type="dxa"/>
            <w:vAlign w:val="center"/>
            <w:shd w:fill="FFFFFF" w:val="clear" w:color="auto"/>
          </w:tcPr>
          <w:p w14:paraId="1BC4EBE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ATT&amp;CK / TTP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6C9AF70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Источник</w:t>
            </w:r>
          </w:p>
        </w:tc>
      </w:tr>
      <w:tr w:rsidR="00A149F8" w14:paraId="4D2F4F3A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193EAC2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Kaspersky Threat Data Feeds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145EE4A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776B30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3FBE33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EC9FB2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5B40E1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078D277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[14, 17, 18, 28]</w:t>
            </w:r>
          </w:p>
        </w:tc>
      </w:tr>
      <w:tr w:rsidR="00A149F8" w14:paraId="059162C7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2AFF45D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F6 Threat Intelligence Feeds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1E27979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FF0063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62BAEA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4D7C62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4DAD58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6A3EC82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3D8D161A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3587214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PT Threat Intelligence Feeds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1C1417A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9DC355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FF8068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091E54E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BAC448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4ACD359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3776322B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6895CB2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BI.ZONE Threat Intelligence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559F334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URL, email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577E95F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2E4BEB8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197D99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982274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0129B0F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[12, 29]</w:t>
            </w:r>
          </w:p>
        </w:tc>
      </w:tr>
      <w:tr w:rsidR="00A149F8" w14:paraId="6861338C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4C6F77E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Recorded Future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6B58E8B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CE5572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54C56F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2CB0401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0981C8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668A72C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[21, 22]</w:t>
            </w:r>
          </w:p>
        </w:tc>
      </w:tr>
      <w:tr w:rsidR="00A149F8" w14:paraId="4BC18E6F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74037A9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VirusTotal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4481FE6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A0A1E8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141B16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03EA0A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DA59B9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254E669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6E94C79F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5B82164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AlienVault OTX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289DBFD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URL, email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6D491D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3EBA19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1A24E4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AA1FDB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239036D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[24]</w:t>
            </w:r>
          </w:p>
        </w:tc>
      </w:tr>
      <w:tr w:rsidR="00A149F8" w14:paraId="6FF8C40B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5CBAFFB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ThreatFox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0CF111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хеш, IP, домен, URL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17387B2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6CD8FDA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5B87C6E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2E5B66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419443C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06749A75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3585C4EB" w14:textId="77777777" w:rsidR="00A149F8" w:rsidRPr="00364EE0" w:rsidRDefault="00B84485">
            <w:pPr>
              <w:keepNext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URLhaus Plain-Text URL List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67E04D0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URL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22F6ECD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75E8C6E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E235AB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D5D082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650EDE5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[26]</w:t>
            </w:r>
          </w:p>
        </w:tc>
      </w:tr>
      <w:tr w:rsidR="00A149F8" w14:paraId="08F2E078" w14:textId="77777777">
        <w:trPr>
          <w:cantSplit/>
        </w:trPr>
        <w:tc>
          <w:tcPr>
            <w:tcW w:w="2100" w:type="dxa"/>
            <w:vAlign w:val="center"/>
            <w:shd w:fill="FFFFFF" w:val="clear" w:color="auto"/>
          </w:tcPr>
          <w:p w14:paraId="42562EB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MalwareBazaar</w:t>
            </w:r>
          </w:p>
        </w:tc>
        <w:tc>
          <w:tcPr>
            <w:tcW w:w="2105" w:type="dxa"/>
            <w:vAlign w:val="center"/>
            <w:shd w:fill="FFFFFF" w:val="clear" w:color="auto"/>
          </w:tcPr>
          <w:p w14:paraId="7F4B868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0F7618D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700" w:type="dxa"/>
            <w:shd w:val="clear" w:color="auto" w:fill="FFFFFF"/>
            <w:vAlign w:val="center"/>
          </w:tcPr>
          <w:p w14:paraId="40A45B9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7C5B1F2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EC7E15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50" w:type="dxa"/>
            <w:vAlign w:val="center"/>
            <w:shd w:fill="FFFFFF" w:val="clear" w:color="auto"/>
          </w:tcPr>
          <w:p w14:paraId="651C47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</w:tbl>
    <w:p w14:paraId="689A1E0E" w14:textId="77777777" w:rsidR="00A149F8" w:rsidRDefault="00A149F8">
      <w:pPr>
        <w:spacing w:after="0" w:line="240" w:lineRule="auto"/>
        <w:ind w:firstLine="709"/>
        <w:jc w:val="both"/>
      </w:pPr>
    </w:p>
    <w:p w14:paraId="7B7FDD5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Хеши документированы у девяти решений из десяти, URL, IP-адреса и домены — у восьми, email — у двух. Различия отражают назначение источников: URLhaus предоставляет ссылки, MalwareBazaar — сведения об образцах файлов.</w:t>
      </w:r>
    </w:p>
    <w:p w14:paraId="735B6623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Связь с вредоносным ПО подтверждена у девяти решений, с группировками — у шести, с CVE и ATT&amp;CK — у пяти. Идентификатор техники позволяет соотнести наблюдение с методом атаки, но не передаёт условия, результаты и ограничения его научного исследования.</w:t>
      </w:r>
    </w:p>
    <w:p w14:paraId="146A3F95" w14:textId="77777777" w:rsidR="00A149F8" w:rsidRDefault="00B84485">
      <w:pPr>
        <w:pStyle w:val="Heading3"/>
        <w:keepNext/>
        <w:spacing w:before="12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1.3.3 Контекст записи и передача сведений</w:t>
      </w:r>
    </w:p>
    <w:p w14:paraId="4B15FC23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проверки и использования записи важны время, происхождение и оценка объекта; для автоматической загрузки — формат и механизм передачи. Результаты сравнения приведены в таблице 1.4.</w:t>
      </w:r>
    </w:p>
    <w:p w14:paraId="2576AFB8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1.4 — Контекст записи и передача сведений в рассмотренных TI-решениях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400"/>
        <w:gridCol w:w="850"/>
        <w:gridCol w:w="1650"/>
        <w:gridCol w:w="1650"/>
        <w:gridCol w:w="1500"/>
        <w:gridCol w:w="1305"/>
      </w:tblGrid>
      <w:tr w:rsidR="00A149F8" w14:paraId="3E960478" w14:textId="77777777">
        <w:trPr>
          <w:cantSplit/>
          <w:tblHeader/>
        </w:trPr>
        <w:tc>
          <w:tcPr>
            <w:tcW w:w="2400" w:type="dxa"/>
            <w:vAlign w:val="center"/>
            <w:shd w:fill="FFFFFF" w:val="clear" w:color="auto"/>
          </w:tcPr>
          <w:p w14:paraId="553FF9F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Решение</w:t>
            </w:r>
          </w:p>
        </w:tc>
        <w:tc>
          <w:tcPr>
            <w:tcW w:w="850" w:type="dxa"/>
            <w:vAlign w:val="center"/>
            <w:shd w:fill="FFFFFF" w:val="clear" w:color="auto"/>
          </w:tcPr>
          <w:p w14:paraId="1266381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Время</w:t>
            </w:r>
          </w:p>
        </w:tc>
        <w:tc>
          <w:tcPr>
            <w:tcW w:w="1650" w:type="dxa"/>
            <w:vAlign w:val="center"/>
            <w:shd w:fill="FFFFFF" w:val="clear" w:color="auto"/>
          </w:tcPr>
          <w:p w14:paraId="7682109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Происхождение</w:t>
            </w:r>
          </w:p>
        </w:tc>
        <w:tc>
          <w:tcPr>
            <w:tcW w:w="1650" w:type="dxa"/>
            <w:vAlign w:val="center"/>
            <w:shd w:fill="FFFFFF" w:val="clear" w:color="auto"/>
          </w:tcPr>
          <w:p w14:paraId="76C3229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Оценка опасности или достоверности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3713858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Выдача STIX / TAXII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02F6513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Источник</w:t>
            </w:r>
          </w:p>
        </w:tc>
      </w:tr>
      <w:tr w:rsidR="00A149F8" w14:paraId="090403B6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1C363B8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Kaspersky Threat Data Feeds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795680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69C5B0A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601719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71399EE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STIX, TAXII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4A931E7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[17, 18, 28, 30]</w:t>
            </w:r>
          </w:p>
        </w:tc>
      </w:tr>
      <w:tr w:rsidR="00A149F8" w14:paraId="202A3E4E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7A0F201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F6 Threat Intelligence Feeds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4F6E1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F406BA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756F086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3FA2921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STIX, TAXII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5ACA5BA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608E6DEE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0FA4F1C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PT Threat Intelligence Feeds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5DB548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0A46899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F19822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20A30EA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STIX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2A74DEA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[20, 31–33]</w:t>
            </w:r>
          </w:p>
        </w:tc>
      </w:tr>
      <w:tr w:rsidR="00A149F8" w14:paraId="280DC54B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531C255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BI.ZONE Threat Intelligence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9D076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D6AA9A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0FFA7B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76C3A0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2DFB984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[12, 29]</w:t>
            </w:r>
          </w:p>
        </w:tc>
      </w:tr>
      <w:tr w:rsidR="00A149F8" w14:paraId="68EC1E7E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33569E7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Recorded Future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D0B363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522BD22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76299A1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3508B36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STIX, TAXII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29D8456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[21]</w:t>
            </w:r>
          </w:p>
        </w:tc>
      </w:tr>
      <w:tr w:rsidR="00A149F8" w14:paraId="0F03DC36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455AB4F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VirusTotal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3DC745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7B6811E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6284DFF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1E91783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STIX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4DBE0CF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37C14E32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2223C8D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AlienVault OTX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1DD26B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2C240E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7E58CF1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500" w:type="dxa"/>
            <w:vAlign w:val="center"/>
            <w:shd w:fill="FFFFFF" w:val="clear" w:color="auto"/>
          </w:tcPr>
          <w:p w14:paraId="300ED3B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STIX, TAXII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43DE070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[24, 34]</w:t>
            </w:r>
          </w:p>
        </w:tc>
      </w:tr>
      <w:tr w:rsidR="00A149F8" w14:paraId="482D3CB3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0DE1B12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ThreatFox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655E89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8C9481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6CDE922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1991A0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5987C21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777E5B9C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0A7E8B27" w14:textId="77777777" w:rsidR="00A149F8" w:rsidRPr="00364EE0" w:rsidRDefault="00B84485">
            <w:pPr>
              <w:keepNext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URLhaus Plain-Text URL List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3AD0EC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111C468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04C9796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04393F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7B90A7B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[25, 26]</w:t>
            </w:r>
          </w:p>
        </w:tc>
      </w:tr>
      <w:tr w:rsidR="00A149F8" w14:paraId="0DFB6D94" w14:textId="77777777">
        <w:trPr>
          <w:cantSplit/>
        </w:trPr>
        <w:tc>
          <w:tcPr>
            <w:tcW w:w="2400" w:type="dxa"/>
            <w:vAlign w:val="center"/>
            <w:shd w:fill="FFFFFF" w:val="clear" w:color="auto"/>
          </w:tcPr>
          <w:p w14:paraId="458D6AE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MalwareBazaar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D4BFEA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477556D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50" w:type="dxa"/>
            <w:shd w:val="clear" w:color="auto" w:fill="FFFFFF"/>
            <w:vAlign w:val="center"/>
          </w:tcPr>
          <w:p w14:paraId="7B9127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AA48E6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305" w:type="dxa"/>
            <w:vAlign w:val="center"/>
            <w:shd w:fill="FFFFFF" w:val="clear" w:color="auto"/>
          </w:tcPr>
          <w:p w14:paraId="65F89F1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[25, 27]</w:t>
            </w:r>
          </w:p>
        </w:tc>
      </w:tr>
    </w:tbl>
    <w:p w14:paraId="01A779CC" w14:textId="77777777" w:rsidR="00A149F8" w:rsidRDefault="00A149F8">
      <w:pPr>
        <w:spacing w:after="0" w:line="240" w:lineRule="auto"/>
        <w:ind w:firstLine="709"/>
        <w:jc w:val="both"/>
      </w:pPr>
    </w:p>
    <w:p w14:paraId="10F82EF9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Временной контекст подтверждён у восьми решений, происхождение или ссылки — у семи, оценка опасности или достоверности — у шести. Для F6 состав контекстных полей записи не установлен. Шкалы поставщиков имеют разный смысл: confidence в Recorded Future передаёт риск [21], PT — репутацию и потенциальный ущерб [20], ThreatFox — доверие к индикатору [25]. Поэтому значения нельзя непосредственно сопоставлять без учёта определений поставщика.</w:t>
      </w:r>
    </w:p>
    <w:p w14:paraId="1C2ED237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Временные метки могут обозначать разные события. Например, first_seen и last_seen в ThreatFox относятся к наблюдениям объекта, а modified в OTX — к изменению публикации Pulse [24, 25]. При объединении сведений необходимо различать время наблюдения угрозы и время подготовки записи.</w:t>
      </w:r>
    </w:p>
    <w:p w14:paraId="4B43391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Контекст необходимо связывать с тем объектом, для которого он установлен. В VirusTotal описание коллекции и репутация отдельного файла относятся к разным уровням [23]. В BI.ZONE поля карточки индикатора могут отличаться от настраиваемой CSV-выгрузки [29]. Наличие сведений в интерфейсе не гарантирует их сохранения при экспорте.</w:t>
      </w:r>
    </w:p>
    <w:p w14:paraId="6CF23D3F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Ссылки в TI-записи помогают найти исходную публикацию, но сами по себе не выделяют исследованный метод, условия проверки и результаты [24, 30]. Для получения этих сведений требуется содержательный анализ текста.</w:t>
      </w:r>
    </w:p>
    <w:p w14:paraId="24249539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STIX подтверждён у шести решений, TAXII — у четырёх. Например, выгрузка PT Fusion в STIX подтверждает формат, но не наличие TAXII [31]. Проекты abuse.ch не предоставляют STIX/TAXII [25], сохраняя другие интерфейсы автоматизированного получения данных.</w:t>
      </w:r>
    </w:p>
    <w:p w14:paraId="2A7D5E96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научными результатами можно соотнести объекты STIX attack-pattern, course-of-action, vulnerability, отношения и ссылки на материалы [15]. Для экспериментальных условий, результатов и ограничений требуется дополнительно определить состав полей и правила сохранения их смысла.</w:t>
      </w:r>
    </w:p>
    <w:p w14:paraId="3E67ACA7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Таким образом, рассмотренные TI-решения различаются составом контекста, смыслом оценок и полнотой выгрузок. Для обогащения их сведений научными результатами требуется выделять из публикаций методы, условия проверки и ограничения. Возможности такой обработки рассматриваются далее.</w:t>
      </w:r>
    </w:p>
    <w:p w14:paraId="7254321D" w14:textId="77777777" w:rsidR="00A149F8" w:rsidRDefault="00B84485">
      <w:pPr>
        <w:pStyle w:val="Heading2"/>
        <w:keepNext/>
        <w:spacing w:before="24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 Анализ решений для поиска и обработки научных публикаций</w:t>
      </w:r>
    </w:p>
    <w:p w14:paraId="23138044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Целевой результат обработки публикаций — сопоставимые сведения о методах атак и защиты: объектах воздействия, требованиях к нарушителю, результатах и условиях их получения, мерах защиты, ограничениях применимости и типе проверки, — связанные с подтверждающим текстом. Для их получения необходимы поиск работ, анализ содержания и проверка извлечений.</w:t>
      </w:r>
    </w:p>
    <w:p w14:paraId="3E2C82C0" w14:textId="77777777" w:rsidR="00A149F8" w:rsidRDefault="00B84485">
      <w:pPr>
        <w:pStyle w:val="Heading3"/>
        <w:keepNext/>
        <w:spacing w:before="12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1.4.1 Выбор решений и критерии сравнения</w:t>
      </w:r>
    </w:p>
    <w:p w14:paraId="4CA0D59E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выборку включены одиннадцать решений: девять научных сервисов и два исследовательских графа. Отбор учитывал поддержку поиска, организации литературы и извлечения содержания, а также наличие документальных оснований оценок. Киберграф на HSNMFk-SPLIT и AI-security Knowledge Graph построены по публикациям в области ИБ и позволяют рассмотреть представление предметных сущностей и отношений. Оценки относятся к конкретному режиму или версии; ORKG ASK рассматривается по статье 2024 года. ThreatKG и CTINexus, работающие с TI-отчётами и техническими материалами, в эту выборку не включены [5, 10].</w:t>
      </w:r>
    </w:p>
    <w:p w14:paraId="512FEE61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соответствуют этапам получения целевого результата: формированию и пополнению корпуса, организации литературы, анализу полного текста, структурированию, проверке и передаче извлечений. Отдельно учитывается представление методов атак и защиты в предметной схеме (таблица 1.5).</w:t>
      </w:r>
    </w:p>
    <w:p w14:paraId="36D8F33A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1.5 — Требования к целевому результату и критерии сравнения инструментов работы с публикациями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400"/>
        <w:gridCol w:w="3955"/>
      </w:tblGrid>
      <w:tr w:rsidR="00A149F8" w14:paraId="2C866FC2" w14:textId="77777777">
        <w:trPr>
          <w:cantSplit/>
          <w:tblHeader/>
        </w:trPr>
        <w:tc>
          <w:tcPr>
            <w:tcW w:w="5400" w:type="dxa"/>
            <w:vAlign w:val="center"/>
            <w:shd w:fill="FFFFFF" w:val="clear" w:color="auto"/>
          </w:tcPr>
          <w:p w14:paraId="3BF7D8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Требование к целевому результату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2E451D6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Критерий сравнения</w:t>
            </w:r>
          </w:p>
        </w:tc>
      </w:tr>
      <w:tr w:rsidR="00A149F8" w14:paraId="3A0E711B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3C7A2F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Сформировать корпус работ по теме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3688D2D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</w:tr>
      <w:tr w:rsidR="00A149F8" w14:paraId="3065F55C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5715E63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Своевременно пополнять корпус новыми работами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7E2D717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</w:tr>
      <w:tr w:rsidR="00A149F8" w14:paraId="29AA881C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5282A74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Расширить и упорядочить корпус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79576AD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цитирований; тематическая организация</w:t>
            </w:r>
          </w:p>
        </w:tc>
      </w:tr>
      <w:tr w:rsidR="00A149F8" w14:paraId="17BA192F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0E34511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Получить условия, результаты и ограничения, которые не раскрываются в аннотации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0817E50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</w:t>
            </w:r>
          </w:p>
        </w:tc>
      </w:tr>
      <w:tr w:rsidR="00A149F8" w14:paraId="5C01C561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5964D92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Представить сведения из разных работ в сопоставимой форме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0CEC303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Извлечение по схеме</w:t>
            </w:r>
          </w:p>
        </w:tc>
      </w:tr>
      <w:tr w:rsidR="00A149F8" w14:paraId="77DAF485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4AFE049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Приспособить состав сведений к задачам киберразведки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0E01D87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Собственные поля</w:t>
            </w:r>
          </w:p>
        </w:tc>
      </w:tr>
      <w:tr w:rsidR="00A149F8" w14:paraId="7B2F1AEF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25E38C9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Проверить каждое сведение по первоисточнику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2595B43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Подтверждающие фрагменты</w:t>
            </w:r>
          </w:p>
        </w:tc>
      </w:tr>
      <w:tr w:rsidR="00A149F8" w14:paraId="147E8066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5929402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Передать сведения для дальнейшей обработки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1E8FFA3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</w:tr>
      <w:tr w:rsidR="00A149F8" w14:paraId="52FD0F69" w14:textId="77777777">
        <w:trPr>
          <w:cantSplit/>
        </w:trPr>
        <w:tc>
          <w:tcPr>
            <w:tcW w:w="5400" w:type="dxa"/>
            <w:vAlign w:val="center"/>
            <w:shd w:fill="FFFFFF" w:val="clear" w:color="auto"/>
          </w:tcPr>
          <w:p w14:paraId="541084E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Описать методы атак и защиты в терминах предметной области</w:t>
            </w:r>
          </w:p>
        </w:tc>
        <w:tc>
          <w:tcPr>
            <w:tcW w:w="3955" w:type="dxa"/>
            <w:vAlign w:val="center"/>
            <w:shd w:fill="FFFFFF" w:val="clear" w:color="auto"/>
          </w:tcPr>
          <w:p w14:paraId="18C8309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Схема угроз и защиты</w:t>
            </w:r>
          </w:p>
        </w:tc>
      </w:tr>
    </w:tbl>
    <w:p w14:paraId="514500F7" w14:textId="77777777" w:rsidR="00A149F8" w:rsidRDefault="00A149F8">
      <w:pPr>
        <w:spacing w:after="0" w:line="240" w:lineRule="auto"/>
        <w:ind w:firstLine="709"/>
        <w:jc w:val="both"/>
      </w:pPr>
    </w:p>
    <w:p w14:paraId="5F42EB0E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Смежные операции разграничены по результату: ссылка открывает статью, фрагмент подтверждает конкретное сведение; экспорт библиографии сохраняет перечень работ, экспорт извлечений — их содержание; собственные поля позволяют настроить структуру, предметная схема задаёт сущности и отношения. Значения оценок и правила их обоснования приняты из пункта 1.3.1.</w:t>
      </w:r>
    </w:p>
    <w:p w14:paraId="2540646F" w14:textId="77777777" w:rsidR="00A149F8" w:rsidRDefault="00B84485">
      <w:pPr>
        <w:pStyle w:val="Heading3"/>
        <w:keepNext/>
        <w:spacing w:before="12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1.4.2 Обнаружение и организация литературы</w:t>
      </w:r>
    </w:p>
    <w:p w14:paraId="3259C2D4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 с научной литературой начинается с формирования корпуса по интересующей теме. Результаты сравнения по этому этапу приведены в таблице 1.6.</w:t>
      </w:r>
    </w:p>
    <w:p w14:paraId="389403F3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1.6 — Обнаружение и организация литературы в рассмотренных решениях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665"/>
        <w:gridCol w:w="1077"/>
        <w:gridCol w:w="1417"/>
        <w:gridCol w:w="1361"/>
        <w:gridCol w:w="1757"/>
        <w:gridCol w:w="1077"/>
      </w:tblGrid>
      <w:tr w:rsidR="00A149F8" w14:paraId="642C56D3" w14:textId="77777777">
        <w:trPr>
          <w:cantSplit/>
          <w:tblHeader/>
        </w:trPr>
        <w:tc>
          <w:tcPr>
            <w:tcW w:w="2665" w:type="dxa"/>
            <w:vAlign w:val="center"/>
            <w:shd w:fill="FFFFFF" w:val="clear" w:color="auto"/>
          </w:tcPr>
          <w:p w14:paraId="21685F5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Решение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3C1D585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Поиск статей</w:t>
            </w:r>
          </w:p>
        </w:tc>
        <w:tc>
          <w:tcPr>
            <w:tcW w:w="1417" w:type="dxa"/>
            <w:vAlign w:val="center"/>
            <w:shd w:fill="FFFFFF" w:val="clear" w:color="auto"/>
          </w:tcPr>
          <w:p w14:paraId="4CD2674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Мониторинг</w:t>
            </w:r>
          </w:p>
        </w:tc>
        <w:tc>
          <w:tcPr>
            <w:tcW w:w="1361" w:type="dxa"/>
            <w:vAlign w:val="center"/>
            <w:shd w:fill="FFFFFF" w:val="clear" w:color="auto"/>
          </w:tcPr>
          <w:p w14:paraId="3ED1FE8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Граф цитирований</w:t>
            </w:r>
          </w:p>
        </w:tc>
        <w:tc>
          <w:tcPr>
            <w:tcW w:w="1757" w:type="dxa"/>
            <w:vAlign w:val="center"/>
            <w:shd w:fill="FFFFFF" w:val="clear" w:color="auto"/>
          </w:tcPr>
          <w:p w14:paraId="191EE0D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Тематическая организация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50A4FA8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2"/>
              </w:rPr>
              <w:t>Источник</w:t>
            </w:r>
          </w:p>
        </w:tc>
      </w:tr>
      <w:tr w:rsidR="00A149F8" w14:paraId="4E450710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140BBC9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Elicit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214DA6F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B0B5CF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DF99C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BF5227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76379B1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[35–39]</w:t>
            </w:r>
          </w:p>
        </w:tc>
      </w:tr>
      <w:tr w:rsidR="00A149F8" w14:paraId="25A569D8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492CBEA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SciSpace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549B4F0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533C67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E52886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F48570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653E649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[40]</w:t>
            </w:r>
          </w:p>
        </w:tc>
      </w:tr>
      <w:tr w:rsidR="00A149F8" w14:paraId="3C2E4767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55DA426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Scite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31327FC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95DA42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186F4D5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0F73F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2857679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[41–44]</w:t>
            </w:r>
          </w:p>
        </w:tc>
      </w:tr>
      <w:tr w:rsidR="00A149F8" w14:paraId="2BB9B0C6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5676123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Consensus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0AA4ED2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42B5EC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EDF5E5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1A341BF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5C22523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[45–47]</w:t>
            </w:r>
          </w:p>
        </w:tc>
      </w:tr>
      <w:tr w:rsidR="00A149F8" w14:paraId="1E5B2BAE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0DBF61C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Semantic Scholar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02165AC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EA504B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BB3CA5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0B652F0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43C958A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6FC4771E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2AA7755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ResearchRabbit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754DA79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F22C73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441329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43DB73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0EABCC2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[49, 50]</w:t>
            </w:r>
          </w:p>
        </w:tc>
      </w:tr>
      <w:tr w:rsidR="00A149F8" w14:paraId="4075CDC2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5F1AB08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Litmaps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1DF259C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569CB2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6A37E0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792754F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74F39A5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[51, 52]</w:t>
            </w:r>
          </w:p>
        </w:tc>
      </w:tr>
      <w:tr w:rsidR="00A149F8" w14:paraId="4CE95753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02635B9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Iris.ai RSpace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38BCF6E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45920B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A47DAD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21A2B72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7A593F9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[53]</w:t>
            </w:r>
          </w:p>
        </w:tc>
      </w:tr>
      <w:tr w:rsidR="00A149F8" w14:paraId="11F3E0DB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2EC7F27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ORKG ASK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47AE1EA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DDB529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61FD890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567FE2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0320875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7E5FC224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5405EE6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Киберграф на HSNMFk-SPLIT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0297C2C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318329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258E28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46F8586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4065043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1AB76FDE" w14:textId="77777777">
        <w:trPr>
          <w:cantSplit/>
        </w:trPr>
        <w:tc>
          <w:tcPr>
            <w:tcW w:w="2665" w:type="dxa"/>
            <w:vAlign w:val="center"/>
            <w:shd w:fill="FFFFFF" w:val="clear" w:color="auto"/>
          </w:tcPr>
          <w:p w14:paraId="3AA7CB3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AI-security Knowledge Graph</w:t>
            </w:r>
          </w:p>
        </w:tc>
        <w:tc>
          <w:tcPr>
            <w:tcW w:w="1077" w:type="dxa"/>
            <w:shd w:val="clear" w:color="auto" w:fill="FFFFFF"/>
            <w:vAlign w:val="center"/>
          </w:tcPr>
          <w:p w14:paraId="522B419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07F09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49F4B8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757" w:type="dxa"/>
            <w:shd w:val="clear" w:color="auto" w:fill="FFFFFF"/>
            <w:vAlign w:val="center"/>
          </w:tcPr>
          <w:p w14:paraId="6E2269C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077" w:type="dxa"/>
            <w:vAlign w:val="center"/>
            <w:shd w:fill="FFFFFF" w:val="clear" w:color="auto"/>
          </w:tcPr>
          <w:p w14:paraId="3941571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</w:tbl>
    <w:p w14:paraId="0A4B4EF3" w14:textId="77777777" w:rsidR="00A149F8" w:rsidRDefault="00A149F8">
      <w:pPr>
        <w:spacing w:after="0" w:line="240" w:lineRule="auto"/>
        <w:ind w:firstLine="709"/>
        <w:jc w:val="both"/>
      </w:pPr>
    </w:p>
    <w:p w14:paraId="062075B4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подтверждён у десяти решений, мониторинг — у четырёх: Elicit, Scite, Semantic Scholar и Litmaps [37, 41, 48, 52]. Поиск по фиксированному корпусу не означает его обновления: киберграф на HSNMFk-SPLIT построен по заголовкам и аннотациям 2 178 187 документов arXiv, пополнение новыми статьями не описано [55].</w:t>
      </w:r>
    </w:p>
    <w:p w14:paraId="2650416D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Граф цитирований подтверждён у пяти решений, тематическая организация — у трёх. Semantic Scholar, ResearchRabbit и Litmaps используют связи цитирования [48, 50, 51], Iris.ai и SciSpace группируют работы по содержанию [40, 53]. Эти средства помогают отбирать литературу, но сами связи между статьями не описывают отношений между методами атак и защиты.</w:t>
      </w:r>
    </w:p>
    <w:p w14:paraId="19116BA5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Киберграф на HSNMFk-SPLIT содержит документы, темы, ключевые слова и общие именованные сущности — организации, события, людей, места, продукты и государства [55]. Для представления атак и защиты нужны дополнительные предметные типы, а для проверки условий исследования — полный текст.</w:t>
      </w:r>
    </w:p>
    <w:p w14:paraId="4C5B5602" w14:textId="77777777" w:rsidR="00A149F8" w:rsidRDefault="00B84485">
      <w:pPr>
        <w:pStyle w:val="Heading3"/>
        <w:keepNext/>
        <w:spacing w:before="120" w:after="120" w:line="360" w:lineRule="auto"/>
        <w:ind w:firstLine="709"/>
        <w:suppressAutoHyphens w:val="1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1.4.3 Извлечение содержания и проверка результата</w:t>
      </w:r>
    </w:p>
    <w:p w14:paraId="66FF65FD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отбора публикаций основная работа переносится на их содержание. Результаты сравнения по этому этапу приведены в таблице 1.7.</w:t>
      </w:r>
    </w:p>
    <w:p w14:paraId="6EF87DE3" w14:textId="77777777" w:rsidR="00A149F8" w:rsidRDefault="00B84485">
      <w:pPr>
        <w:keepNext/>
        <w:keepLines/>
        <w:spacing w:before="24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Таблица 1.7 — Извлечение содержания и проверка результата в рассмотренных решениях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25"/>
        <w:gridCol w:w="900"/>
        <w:gridCol w:w="1170"/>
        <w:gridCol w:w="1280"/>
        <w:gridCol w:w="1150"/>
        <w:gridCol w:w="1170"/>
        <w:gridCol w:w="800"/>
        <w:gridCol w:w="960"/>
      </w:tblGrid>
      <w:tr w:rsidR="00A149F8" w14:paraId="4DC0C86D" w14:textId="77777777">
        <w:trPr>
          <w:cantSplit/>
          <w:tblHeader/>
        </w:trPr>
        <w:tc>
          <w:tcPr>
            <w:tcW w:w="1925" w:type="dxa"/>
            <w:vAlign w:val="center"/>
            <w:shd w:fill="FFFFFF" w:val="clear" w:color="auto"/>
          </w:tcPr>
          <w:p w14:paraId="4E026BA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Решение</w:t>
            </w:r>
          </w:p>
        </w:tc>
        <w:tc>
          <w:tcPr>
            <w:tcW w:w="900" w:type="dxa"/>
            <w:vAlign w:val="center"/>
            <w:shd w:fill="FFFFFF" w:val="clear" w:color="auto"/>
          </w:tcPr>
          <w:p w14:paraId="4DE86E4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Полный текст</w:t>
            </w:r>
          </w:p>
        </w:tc>
        <w:tc>
          <w:tcPr>
            <w:tcW w:w="1170" w:type="dxa"/>
            <w:vAlign w:val="center"/>
            <w:shd w:fill="FFFFFF" w:val="clear" w:color="auto"/>
          </w:tcPr>
          <w:p w14:paraId="68DBBC1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Извлечение по схеме</w:t>
            </w:r>
          </w:p>
        </w:tc>
        <w:tc>
          <w:tcPr>
            <w:tcW w:w="1280" w:type="dxa"/>
            <w:vAlign w:val="center"/>
            <w:shd w:fill="FFFFFF" w:val="clear" w:color="auto"/>
          </w:tcPr>
          <w:p w14:paraId="50CB827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Собственные поля</w:t>
            </w:r>
          </w:p>
        </w:tc>
        <w:tc>
          <w:tcPr>
            <w:tcW w:w="1150" w:type="dxa"/>
            <w:vAlign w:val="center"/>
            <w:shd w:fill="FFFFFF" w:val="clear" w:color="auto"/>
          </w:tcPr>
          <w:p w14:paraId="2A58ED5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Фрагменты</w:t>
            </w:r>
          </w:p>
        </w:tc>
        <w:tc>
          <w:tcPr>
            <w:tcW w:w="1170" w:type="dxa"/>
            <w:vAlign w:val="center"/>
            <w:shd w:fill="FFFFFF" w:val="clear" w:color="auto"/>
          </w:tcPr>
          <w:p w14:paraId="309601D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Экспорт извлечений</w:t>
            </w:r>
          </w:p>
        </w:tc>
        <w:tc>
          <w:tcPr>
            <w:tcW w:w="800" w:type="dxa"/>
            <w:vAlign w:val="center"/>
            <w:shd w:fill="FFFFFF" w:val="clear" w:color="auto"/>
          </w:tcPr>
          <w:p w14:paraId="05D169C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Схема угроз и защиты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4DD3B48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Источник</w:t>
            </w:r>
          </w:p>
        </w:tc>
      </w:tr>
      <w:tr w:rsidR="00A149F8" w14:paraId="49C207BF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77D5D85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Elicit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1D933C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4A55AA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369372F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51AE2D5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220E6AF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E2AC2C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697F0A7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[35–38]</w:t>
            </w:r>
          </w:p>
        </w:tc>
      </w:tr>
      <w:tr w:rsidR="00A149F8" w14:paraId="3A49A0F9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33AFF5E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SciSpace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079EF7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0E3AF4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19C8CA0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46FA740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14257C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92E7DA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479856E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[40, 57]</w:t>
            </w:r>
          </w:p>
        </w:tc>
      </w:tr>
      <w:tr w:rsidR="00A149F8" w14:paraId="7D24A631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35B142E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Scite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C5F841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275B0B5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6AD00B2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4A4900F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DB6818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D951A8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2C275CE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[41–43]</w:t>
            </w:r>
          </w:p>
        </w:tc>
      </w:tr>
      <w:tr w:rsidR="00A149F8" w14:paraId="7F71594A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0208AB8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Consensus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1A9FC8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14A1C7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6331F18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0E0B465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1958AC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0FB0AE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79DF1D3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[45–47]</w:t>
            </w:r>
          </w:p>
        </w:tc>
      </w:tr>
      <w:tr w:rsidR="00A149F8" w14:paraId="511DA693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3A7B6BA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Semantic Scholar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BDD1A8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5C4F0CA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5FA610B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00DBAAA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062E734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3F0A386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0621935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4FF00AED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798C43EB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ResearchRabbit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5168B8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CF2948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2138CF8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1B7DD7F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45D1FBF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3BCDEA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1FB7241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[49, 50]</w:t>
            </w:r>
          </w:p>
        </w:tc>
      </w:tr>
      <w:tr w:rsidR="00A149F8" w14:paraId="7233C7D0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46E0030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Litmaps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1AE0468F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28FFA5D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7289939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22F04FC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830DD5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5A8CD0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37CDEE1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[51, 52]</w:t>
            </w:r>
          </w:p>
        </w:tc>
      </w:tr>
      <w:tr w:rsidR="00A149F8" w14:paraId="1C3EE3F8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47856023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Iris.ai RSpace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2C5F60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5F7B75A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1E5D7A1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03215F7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258C21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21A75A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1C203FD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[53]</w:t>
            </w:r>
          </w:p>
        </w:tc>
      </w:tr>
      <w:tr w:rsidR="00A149F8" w14:paraId="349A9366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33BC5D0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ORKG ASK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C4A081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F257B27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7BF2595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1B5B289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331009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9F0BBF5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03677FB2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024CF04B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291591B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Киберграф на HSNMFk-SPLIT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B82DA6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2601E74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32136A2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2DDC8408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7FC1F846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F5E9FAC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7C20684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079B32B5" w14:textId="77777777">
        <w:trPr>
          <w:cantSplit/>
        </w:trPr>
        <w:tc>
          <w:tcPr>
            <w:tcW w:w="1925" w:type="dxa"/>
            <w:vAlign w:val="center"/>
            <w:shd w:fill="FFFFFF" w:val="clear" w:color="auto"/>
          </w:tcPr>
          <w:p w14:paraId="5CAB1CD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AI-security Knowledge Graph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B7DB19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01367D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80" w:type="dxa"/>
            <w:shd w:val="clear" w:color="auto" w:fill="FFFFFF"/>
            <w:vAlign w:val="center"/>
          </w:tcPr>
          <w:p w14:paraId="538294F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1150" w:type="dxa"/>
            <w:shd w:val="clear" w:color="auto" w:fill="FFFFFF"/>
            <w:vAlign w:val="center"/>
          </w:tcPr>
          <w:p w14:paraId="5399B1F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4A4DB36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НУ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1E7C89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960" w:type="dxa"/>
            <w:vAlign w:val="center"/>
            <w:shd w:fill="FFFFFF" w:val="clear" w:color="auto"/>
          </w:tcPr>
          <w:p w14:paraId="54060FD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</w:tbl>
    <w:p w14:paraId="67F4FDAD" w14:textId="77777777" w:rsidR="00A149F8" w:rsidRDefault="00A149F8">
      <w:pPr>
        <w:spacing w:after="0" w:line="240" w:lineRule="auto"/>
        <w:ind w:firstLine="709"/>
        <w:jc w:val="both"/>
      </w:pPr>
    </w:p>
    <w:p w14:paraId="3CB4D154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Полный текст документирован у семи решений, извлечение по схеме — у восьми. Доступность содержания ограничивает результат: Elicit использует полный текст при наличии PDF [35], Ask This Paper в Semantic Scholar доступен для части работ [48]. Условия, эксперименты и ограничения могут находиться за пределами аннотации.</w:t>
      </w:r>
    </w:p>
    <w:p w14:paraId="7FCF6A8A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 извлекаемых полей определяет пригодность результата. Например, Study Snapshot в Consensus содержит семь атрибутов эмпирического исследования, включая выборку, методы и результаты [45]. Для киберразведки к ним необходимо добавить объекты воздействия и отношения между методами атак и защиты.</w:t>
      </w:r>
    </w:p>
    <w:p w14:paraId="533726F8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Собственные поля и экспорт извлечений подтверждены у пяти решений. У Elicit, SciSpace, Scite и Iris.ai одновременно документированы также полный текст и подтверждающие фрагменты [35, 40–43, 53, 57]. Эти возможности создают основу для извлечения сведений по структуре, задаваемой аналитиком.</w:t>
      </w:r>
    </w:p>
    <w:p w14:paraId="05DED53C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Подтверждающие фрагменты предусмотрены у семи решений, но относятся к разным режимам: извлечениям Elicit Systematic Review, ответам SciSpace ChatPDF и Scite Assistant [36, 42, 57]. В ORKG ASK 2024 года отображение происхождения отнесено к дальнейшей разработке [54]. При использовании важно проверить связь фрагмента с конкретным сведением и её сохранение при выгрузке. Цитата подтверждает сообщение авторов; применимость к другой инфраструктуре оценивается с учётом условий и ограничений.</w:t>
      </w:r>
    </w:p>
    <w:p w14:paraId="50A709CE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Ближайший предметный аналог — AI-security Knowledge Graph по безопасности систем ИИ. Он извлекает типизированные сущности и направленные отношения в закрытой онтологии, сохраняет подтверждающие предложения и происхождение противоречащих утверждений [56]. Подход объединяет предметную схему и проверку по тексту, однако её пользовательская настройка не раскрыта, выпуск графа или кода не указан.</w:t>
      </w:r>
    </w:p>
    <w:p w14:paraId="52B9E00E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Сравнение показывает, что рассмотренные средства поддерживают поиск, организацию корпуса и извлечение по задаваемым полям. Встроенная схема угроз и защиты подтверждена у одного решения и относится к безопасности систем ИИ. Для поставленной задачи состав полей и предметных отношений следует определить с учётом MITRE ATT&amp;CK и STIX.</w:t>
      </w:r>
    </w:p>
    <w:p w14:paraId="3FD55326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Документальный обзор характеризует доступные операции; качество их выполнения на выбранных публикациях и трудозатраты аналитика требуют экспериментальной оценки.</w:t>
      </w:r>
    </w:p>
    <w:p>
      <w:pPr>
        <w:pStyle w:val="Heading2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1.5 Обоснование разработки системы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Научные публикации дополняют сведения о наблюдаемых угрозах результатами исследования методов атак и защиты. Для систематического использования этих результатов аналитику приходится регулярно искать новые работы, отбирать подходящие материалы, изучать текст и готовить сведения для дальнейшего анализа. Рост потока публикаций [9] делает эти действия повторяющейся задачей и обосновывает разработку системы периодического мониторинга и обработки.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Рассмотренные TI-решения предоставляют индикаторы и контекст угроз, а научные инструменты поддерживают поиск и извлечение содержания. Их возможности создают основу для автоматизации, однако для выбранной задачи необходимо определить состав извлекаемых сведений, правила их соотнесения с понятиями киберразведки и порядок проверки по первоисточнику. Результаты сравнения и задачи разрабатываемой системы сопоставлены в таблице 1.8.</w:t>
      </w:r>
    </w:p>
    <w:p>
      <w:pPr>
        <w:keepNext/>
        <w:widowControl/>
        <w:spacing w:line="240" w:lineRule="auto" w:before="240" w:after="0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1.8 — Возможности рассмотренных решений и задачи разрабатываемой системы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  <w:left w:w="57" w:type="dxa"/>
          <w:right w:w="57" w:type="dxa"/>
        </w:tblCellMar>
      </w:tblPr>
      <w:tblGrid>
        <w:gridCol w:w="1984"/>
        <w:gridCol w:w="3402"/>
        <w:gridCol w:w="3969"/>
      </w:tblGrid>
      <w:tr>
        <w:trPr>
          <w:cantSplit/>
          <w:tblHeader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/>
              <w:keepLines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Этап работы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/>
              <w:keepLines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Возможности рассмотренных решений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/>
              <w:keepLines w:val="0"/>
              <w:spacing w:line="240" w:lineRule="auto" w:before="0"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Задача разрабатываемой системы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Поиск и пополнение корпуса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Поиск — у 10 из 11 инструментов; мониторинг — у 4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Периодически проверять новые публикации выбранного источника и отбирать работы по заданной теме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Изучение содержания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Полный текст — у 7 инструментов; извлечение по схеме — у 8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Выделять метод, объект воздействия, требования к нарушителю и меры защиты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Описание в терминах киберразведки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Собственные поля — у 5 инструментов; схема угроз и защиты — у 1, в области безопасности систем ИИ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Задать предметную схему и правила соотнесения сведений с понятиями MITRE ATT&amp;CK и STIX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Сохранение смысла результата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Научная публикация содержит описание эксперимента и его результатов; извлечение по схеме поддерживают 8 инструментов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Сохранять результат вместе с условиями, ограничениями и типом проверки: сценарий, лабораторный эксперимент или наблюдение реальной атаки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Проверка по первоисточнику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Подтверждающие фрагменты — у 7 инструментов в отдельных режимах; их сохранение у каждого выгружаемого сведения не установлено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Связывать каждое утверждение с источником и подтверждающим фрагментом, поддерживать проверку аналитиком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Сохранение и передача сведений</w:t>
            </w:r>
          </w:p>
        </w:tc>
        <w:tc>
          <w:tcPr>
            <w:tcW w:type="dxa" w:w="3402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Экспорт извлечений — у 5 инструментов</w:t>
            </w:r>
          </w:p>
        </w:tc>
        <w:tc>
          <w:tcPr>
            <w:tcW w:type="dxa" w:w="3969"/>
            <w:vAlign w:val="center"/>
            <w:shd w:fill="FFFFFF" w:val="clear" w:color="auto"/>
          </w:tcPr>
          <w:p>
            <w:pPr>
              <w:keepNext w:val="0"/>
              <w:keepLines w:val="0"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Предоставлять структурированные записи для дальнейшего анализа и обогащения материалов киберразведки</w:t>
            </w:r>
          </w:p>
        </w:tc>
      </w:tr>
    </w:tbl>
    <w:p>
      <w:pPr>
        <w:keepNext w:val="0"/>
        <w:keepLines/>
        <w:widowControl/>
        <w:spacing w:line="360" w:lineRule="auto" w:before="12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Значение условий проверки видно на примере исследования Fang и соавторов. На наборе из пятнадцати уязвимостей «одного дня» агент на основе GPT-4 при наличии описания CVE успешно эксплуатировал тринадцать уязвимостей хотя бы в одной из пяти попыток — 86,7 % набора. При этом доля успешных запусков составила 40 %, а без описания уязвимости доля уязвимостей, успешно эксплуатированных хотя бы в одной из пяти попыток, снижалась примерно до 7 % [7]. Следовательно, числовой результат необходимо сохранять вместе с доступной агенту информацией, числом попыток и составом экспериментального набора.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Предпосылки для автоматизации содержательной обработки представлены в рассмотренных исследованиях. CTINexus использует большие языковые модели для извлечения сведений из TI-материалов [10], а AI-security Knowledge Graph связывает предметные сущности и отношения с подтверждающими предложениями исходного текста [56]. Применимость такого подхода к выбранным научным публикациям по ИБ необходимо оценить на собственном наборе данных.</w:t>
      </w:r>
    </w:p>
    <w:p>
      <w:pPr>
        <w:keepNext w:val="0"/>
        <w:keepLines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Сокращение трудозатрат рассматривается как проверяемая гипотеза. Для её проверки следует сравнить корректность, полноту и время подготовки сведений по одному набору публикаций вручную и с использованием системы. В обоих случаях необходимо учитывать время проверки утверждений и исправления ошибок. Состав извлекаемых полей, требования к системе и методика оценки определяются в следующих главах.</w:t>
      </w:r>
    </w:p>
    <w:p>
      <w:pPr>
        <w:pStyle w:val="Heading2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Выводы по разделу 1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Проанализированы источники информации, десять TI-решений и одиннадцать инструментов работы с публикациями. Установлены различия в составе сведений, представлении контекста и возможностях обработки литературы. Выводы относятся к документированным функциям выбранных объектов и режимов.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обогащения материалов киберразведки научными результатами необходимы предметная структура извлечений и связь утверждений с подтверждающим текстом. Сохранение условий и ограничений позволяет оценивать применимость результата к задаче защиты.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Обоснована разработка системы периодического мониторинга публикаций, тематического отбора и анализа с применением LLM. Экспериментальной проверке подлежат качество извлечения, сохранение контекста и изменение трудозатрат аналитика с учётом проверки и исправления записей.</w:t>
      </w:r>
    </w:p>
    <w:p w14:paraId="747CEB9E" w14:textId="77777777" w:rsidR="00A149F8" w:rsidRDefault="00B84485">
      <w:pPr>
        <w:keepNext/>
        <w:pageBreakBefore/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ИСПОЛЬЗОВАННЫХ ИСТОЧНИКОВ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Лаборатория Касперского. Число года: решения «Лаборатории Касперского» ежедневно обнаруживают 500 тысяч новых вредоносных файлов. 02.12.2025. URL: https://www.kaspersky.ru/about/press-releases/chislo-goda-resheniya-laboratorii-kasperskogo-ezhednevno-obnaruzhivayut-500-tysyach-novyh-vredonosnyh-fajlov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Лаборатория Касперского. Threat intelligence (данные о киберугрозах) // Энциклопедия «Касперского». URL: https://encyclopedia.kaspersky.ru/glossary/threat-intelligence/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F6. Как работает Threat Intelligence в экосистеме киберзащиты. 09.10.2025. URL: https://www.f6.ru/blog/ti-ecosystem/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Лаборатория Касперского. 41 % компаний испытывают нехватку специалистов в области информационной безопасности. 02.09.2024. URL: https://www.kaspersky.ru/about/press-releases/globalnoe-issledovanie-laboratorii-kasperskogo-41-kompanij-ispytyvayut-nehvatku-specialistov-v-oblasti-informacionnoj-bezopasnosti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ThreatKG: An AI-Powered System for Automated Open-Source Cyber Threat Intelligence Gathering and Management / P. Gao, X. Liu, E. Choi [et al.]. 2024. Препринт arXiv:2212.10388v2. DOI: 10.48550/arXiv.2212.10388. URL: https://arxiv.org/abs/2212.10388v2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Мещеряков Р. В., Исхаков С. Ю. Исследование индикаторов компрометации для средств защиты информационных и киберфизических систем // Вопросы кибербезопасности. 2022. № 5 (51). С. 82–99. DOI: 10.21681/2311-3456-2022-5-82-99. URL: https://cyberrus.info/wp-content/uploads/2022/11/82-99-551-22_7.-Meshcheryakov.pdf (дата обращения: 12.10.2026).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LLM Agents can Autonomously Exploit One-day Vulnerabilities / R. Fang, R. Bindu, A. Gupta, D. Kang. 2024. Препринт arXiv:2404.08144v2. DOI: 10.48550/arXiv.2404.08144. URL: https://arxiv.org/abs/2404.08144v2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MITRE. MITRE ATT&amp;CK: Frequently Asked Questions. URL: https://attack.mitre.org/resources/faq/ (дата обращения: 09.10.2026).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9. arXiv. Cryptography and Security (cs.CR) : [перечни статей за 2020 и 2025 гг.]. URL: https://arxiv.org/list/cs.CR/2020, https://arxiv.org/list/cs.CR/2025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 CTINexus: Automatic Cyber Threat Intelligence Knowledge Graph Construction Using Large Language Models / Y. Cheng, O. Bajaber, S. A. Tsegai [et al.]. 2025. Препринт arXiv:2410.21060v2 (авторская версия доклада EuroS&amp;P 2025). DOI: 10.48550/arXiv.2410.21060. URL: https://arxiv.org/abs/2410.21060v2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11. Мещеряков Р. В., Исхаков С. Ю. Исследование методов формирования индикаторов компрометации от внутренних источников информационных и киберфизических систем // Вопросы кибербезопасности. 2023. № 6 (58). С. 35–49. DOI: 10.21681/2311-3456-2023-6-35-49. URL: https://cyberrus.info/wp-content/uploads/2023/12/vokib-2023-6-st03-s035-049.pdf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 BI.ZONE. BI.ZONE Threat Intelligence : [описание продукта]. URL: https://bi.zone/catalog/products/threat-intelligence/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F6. Threat Intelligence ; Threat Intelligence Feeds : [описания продуктов]. URL: https://www.f6.ru/products/threat-intelligence/, https://www.f6.ru/products/threat-intelligence-feeds/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 Kaspersky. About Kaspersky Threat Data Feeds. Дата обновления: 10.08.2026. URL: https://support.kaspersky.com/datafeeds/about/13849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15. OASIS. STIX Version 2.1 : OASIS Standard. 10.06.2021. URL: https://docs.oasis-open.org/cti/stix/v2.1/os/stix-v2.1-os.html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16. OASIS. Introduction to TAXII. URL: https://oasis-open.github.io/cti-documentation/taxii/intro.html (дата обращения: 29.09.2026).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17. Kaspersky. Kaspersky Threat Data Feeds : [буклет]. 2024. URL: https://content.kaspersky-labs.com/se/media/en/business-security/enterprise/kaspersky-threat-data-feeds-leaflet.pdf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Kaspersky. Kaspersky Threat Data Feeds : [техническое описание]. URL: https://content.kaspersky-labs.com/se/media/en/business-security/enterprise/kaspersky-threat-data-feeds-datasheet.pdf (дата обращения: 12.10.2026).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 F6. На шаг впереди: как Threat Intelligence раскрывает возможности SIEM, IRP и SOAR. 13.11.2024. URL: https://www.f6.ru/blog/ti-siem/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20. Positive Technologies. PT Threat Intelligence Feeds : [описание продукта]. URL: https://www.ptsecurity.com/upload/corporate/ru-ru/products/pt-threat-intelligence-feeds/ptfeeds_datasheet_ru.pdf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21. Recorded Future. Recorded Future API Documentation. URL: https://docs.recordedfuture.com/reference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22. Recorded Future. Recorded Future Support : [справочный центр]. URL: https://support.recordedfuture.com/hc/en-us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23. VirusTotal. VirusTotal Documentation Hub : [документация, включая справочник API v3]. URL: https://docs.virustotal.com/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24. AlienVault OTX. OTX Python SDK : [репозиторий исходного кода]. URL: https://github.com/AlienVault-OTX/OTX-Python-SDK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25. abuse.ch. ThreatFox Community API ; ThreatFox FAQ. URL: https://threatfox.abuse.ch/api/, https://threatfox.abuse.ch/faq/ (дата обращения: 09.10.2026).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26. abuse.ch. URLhaus Community API. URL: https://urlhaus.abuse.ch/api/ (дата обращения: 09.10.2026).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27. abuse.ch. MalwareBazaar Community API. URL: https://bazaar.abuse.ch/api/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28. Kaspersky. Product Terms and Conditions: Kaspersky Threat Data Feeds. 2025. URL: https://media.kaspersky.com/documents/msa_terms/Kaspersky_Product_T%26C_Threat_Data_Feeds.pdf (дата обращения: 09.10.2026).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29. BI.ZONE. Платформа киберразведки BI.ZONE Threat Intelligence : руководство пользователя. URL: https://bi.zone/upload/iblock/c58/sc6fugunt22hqr7xmy6oacmdxcej6kph/BI_ZONE_Threat_Intelligence_%D0%A0%D1%83%D0%BA%D0%BE%D0%B2%D0%BE%D0%B4%D1%81%D1%82%D0%B2%D0%BE_%D0%BF%D0%BE%D0%BB%D1%8C%D0%B7%D0%BE%D0%B2%D0%B0%D1%82%D0%B5%D0%BB%D1%8F.pdf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30. Kaspersky. Step 3. Configuring Kaspersky CyberTrace for interaction with ArcSight // Kaspersky CyberTrace 5.0. URL: https://support.kaspersky.com/CyberTrace/5.0/en-US/174019.htm (дата обращения: 09.10.2026).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31. Positive Technologies. PT Fusion теперь позволяет интегрировать потоки данных об угрозах напрямую в средства защиты. 18.03.2026. URL: https://ptsecurity.com/about/news/pt-fusion-now-allows-you-to-integrate-threat-data-streams-directly-into-your-security-solutions/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32. Обзор рынка платформ и сервисов киберразведки (Threat Intelligence) в России и в мире // Anti-Malware.ru. URL: https://www.anti-malware.ru/analytics/Market_Analysis/Threat-Intelligence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33. PT Threat Intelligence Feeds : [описание продукта] // Инфарс. URL: https://infars.ru/software/product/pt-threat-intelligence-feeds/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34. LevelBlue. OTX is a Free STIX/TAXII Feed // LevelBlue Blog. 21.11.2019. URL: https://www.levelblue.com/blogs/levelblue-blog/otx-is-now-a-free-stix-taxii-server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35. Elicit. Elicit Help Center. URL: https://support.elicit.com/en/ (дата обращения: 09.10.2026).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36. Elicit. Introducing Elicit Systematic Review // Elicit Blog. URL: https://elicit.com/blog/systematic-review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37. Elicit. Introducing Elicit Alerts // Elicit Blog. URL: https://elicit.com/blog/introducing-elicit-alerts (дата обращения: 02.10.2026).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38. Elicit. Elicit API documentation. URL: https://docs.elicit.com/ (дата обращения: 02.10.2026).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39. Elicit. Systematic Literature Reviews. URL: https://elicit.com/solutions/literature-review (дата обращения: 03.10.2026).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40. SciSpace. Extract Data From Research Papers ; Literature Search ; Find Topics : [описания инструментов]. URL: https://scispace.com/extract-data, https://scispace.com/search, https://scispace.com/concepts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41. Scite. Scite Features. URL: https://scite.ai/features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42. Scite. What It Looks Like When An AI Research Assistant Shows Its Work // Scite Blog. URL: https://scite.ai/blog/research-assistant-shows-its-work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43. Scite. Documentation — Scite API. URL: https://docs.scite.ai/introduction (дата обращения: 02.10.2026).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44. Scite. Introducing scite Visualizations // Scite Blog. URL: https://scite.ai/blog/introducing-scite-visualizations-a-new-way-to-look-at-a-field-of-research-f9a224d8c769 (дата обращения: 10.10.2026).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45. Consensus. The Consensus Help Center. URL: https://help.consensus.app/en/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46. Consensus. API. URL: https://docs.consensus.app/core-features/api (дата обращения: 02.10.2026).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47. Consensus. Consensus LibGuide for Academic Research. URL: https://consensus.app/home/resources/consensus-libguide-for-academic-research/ (дата обращения: 02.10.2026).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48. Semantic Scholar. Our Product ; Semantic Reader ; Semantic Scholar API — Overview ; FAQ : [страницы официального сайта]. URL: https://webflow.semanticscholar.org/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49. ResearchRabbit. Features. URL: https://www.researchrabbit.ai/features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50. ResearchRabbit. ResearchRabbit – Guides : [справочный центр]. URL: https://learn.researchrabbit.ai/en/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51. Litmaps. Features. URL: https://www.litmaps.com/features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52. Litmaps. Litmaps Help Center. URL: https://docs.litmaps.com/en/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53. Iris.ai. RSpace Help Center. URL: https://iris.ai/help-center/rspace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54. Oelen A., Jaradeh M. Y., Auer S. ORKG ASK: a Neuro-symbolic Scholarly Search and Exploration System. 2024. Препринт arXiv:2412.04977v1. DOI: 10.48550/arXiv.2412.04977. URL: https://arxiv.org/html/2412.04977v1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55. Cyber-Security Knowledge Graph Generation by Hierarchical Nonnegative Matrix Factorization / R. Barron, M. E. Eren, M. Bhattarai [et al.]. 2024. Препринт arXiv:2403.16222v2. DOI: 10.48550/arXiv.2403.16222. URL: https://arxiv.org/html/2403.16222v2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56. A domain-specific knowledge graph for reasoning over AI security threats and defenses / S. Shamshiri, D. Javaheri, M. Fahmideh, J. Hur // Knowledge-Based Systems. 2026. Vol. 350. Art. 116492. DOI: 10.1016/j.knosys.2026.116492. URL: https://www.sciencedirect.com/science/article/pii/S0950705126012189 (дата обращения: 11.10.2026).</w:t>
      </w:r>
    </w:p>
    <w:p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57. SciSpace. Introducing ChatPDF // SciSpace Guides. URL: https://scispace.com/guides/introducing-copilot-ai-assistant-explains-research-papers (дата обращения: 11.10.2026).</w:t>
      </w:r>
    </w:p>
    <w:p w14:paraId="78522C9F" w14:textId="77777777" w:rsidR="00A149F8" w:rsidRDefault="00B84485">
      <w:pPr>
        <w:keepNext/>
        <w:pageBreakBefore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0386CDCC" w14:textId="77777777" w:rsidR="00A149F8" w:rsidRDefault="00B84485">
      <w:pPr>
        <w:keepNext/>
        <w:spacing w:after="240" w:line="36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Основания сравнительных оценок</w:t>
      </w:r>
    </w:p>
    <w:p w14:paraId="6591AC4D" w14:textId="77777777" w:rsidR="00A149F8" w:rsidRDefault="00B84485">
      <w:pPr>
        <w:spacing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таблицах А.1 и А.2 приведены оценки по всем критериям сравнения и ссылки на документы, использованные для их обоснования. Соседние признаки одного решения с одинаковой оценкой и одинаковыми источниками объединены в одну строку. Всего приведено 300 оценок: «Да» — 171, «Нет» — 27, «Не установлено» — 102. Без признаков алгоритмов хеширования и версий IP основные таблицы 1.3, 1.4, 1.6 и 1.7 содержат 250 оценок: 168 значений «Да» и «Нет» и 82 значения «Не установлено».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значений «Да» и «Нет» различаются прямые и косвенные основания. Прямым считается указание свойства в первичном документе применительно к рассматриваемому объекту; косвенным — вывод из описания продукта в целом или смежного утверждения. Из 168 значений «Да» и «Нет» в основных таблицах прямое основание имеют 157 (93 %), косвенное — 11. Девять косвенных оценок относятся к F6 и установлены по описанию линейки продукта.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числе прямых оснований девять оценок установлены по руководству пользователя BI.ZONE [29, с. 23, 26, 31–34, 48, 54–55, 65–66, прил. А, Е] и таблицам полей Kaspersky CyberTrace [30]. В частности, поле publication_name в APT-фидах Kaspersky указывает название публикации. Ссылки в таблицах А.1 и А.2 идентифицируют использованные документы; приведённые здесь страницы и названия полей уточняют соответствующие основания.</w:t>
      </w:r>
    </w:p>
    <w:p>
      <w:pPr>
        <w:keepNext w:val="0"/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Результаты характеризуют документированные возможности выбранных решений и режимов и не подтверждают отсутствия недокументированных функций. Глубина документального описания неодинакова: для F6 использованы материалы о линейке продукта, для STIX/TAXII в OTX — объявление 2019 года. Исследовательские графы рассмотрены по авторским описаниям без воспроизведения экспериментов. Возможности продукта, карточки объекта и конкретной выгрузки разграничиваются по объектам сравнения в таблице 1.1.</w:t>
      </w:r>
    </w:p>
    <w:p w14:paraId="208BF1B9" w14:textId="77777777" w:rsidR="00A149F8" w:rsidRDefault="00B84485">
      <w:pPr>
        <w:keepNext/>
        <w:keepLines/>
        <w:spacing w:before="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А.1 — Основания оценок TI-решений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3E0F5F35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3C5015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7D0B30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0C71FB2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BBBC8B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162DE96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EC4487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Kaspersky Threat Data Feeds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7B1D2A1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8E48FF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374E2C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[14]</w:t>
            </w:r>
          </w:p>
        </w:tc>
      </w:tr>
      <w:tr w:rsidR="00A149F8" w14:paraId="5C1E3BD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A5F0155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9C304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MD5; SHA-1; SHA-256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9936E6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7FFD1B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[14]</w:t>
            </w:r>
          </w:p>
        </w:tc>
      </w:tr>
      <w:tr w:rsidR="00A149F8" w14:paraId="1BE743A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EE999F2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2C3844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IP-адрес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1B737F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CEAEF3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[17, 28]</w:t>
            </w:r>
          </w:p>
        </w:tc>
      </w:tr>
      <w:tr w:rsidR="00A149F8" w14:paraId="7D0D7D2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21B4C7D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C5223B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IPv4; IPv6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62FED5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7B099E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[14]</w:t>
            </w:r>
          </w:p>
        </w:tc>
      </w:tr>
      <w:tr w:rsidR="00A149F8" w14:paraId="6373E4A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986FE2A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AD13F5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Домен / хост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77BB4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458885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[17, 18]</w:t>
            </w:r>
          </w:p>
        </w:tc>
      </w:tr>
      <w:tr w:rsidR="00A149F8" w14:paraId="0970B0D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0187D9D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697D5C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9F173A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EEDF22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[28]</w:t>
            </w:r>
          </w:p>
        </w:tc>
      </w:tr>
      <w:tr w:rsidR="00A149F8" w14:paraId="24DE3CE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33E0CB0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E79A63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BE948A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F94A72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[14]</w:t>
            </w:r>
          </w:p>
        </w:tc>
      </w:tr>
      <w:tr w:rsidR="00A149F8" w14:paraId="3FCFDE3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CD2E4F8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1A6FEB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CVE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E87BA9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80DADC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[17, 28]</w:t>
            </w:r>
          </w:p>
        </w:tc>
      </w:tr>
      <w:tr w:rsidR="00A149F8" w14:paraId="1EEAB94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48BDB3D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4667A0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ВПО / семейства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A64CB6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7DB9B8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[17, 18]</w:t>
            </w:r>
          </w:p>
        </w:tc>
      </w:tr>
      <w:tr w:rsidR="00A149F8" w14:paraId="4AB2569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DD39358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8C85EA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Группировки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9E4E62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D5ED8D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[14]</w:t>
            </w:r>
          </w:p>
        </w:tc>
      </w:tr>
      <w:tr w:rsidR="00A149F8" w14:paraId="746E238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6B01966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CCB294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MITRE ATT&amp;CK / TTP; Временные метки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8FB971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6DFD7F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[17, 18]</w:t>
            </w:r>
          </w:p>
        </w:tc>
      </w:tr>
      <w:tr w:rsidR="00A149F8" w14:paraId="1BDC18D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05606B3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F4BE94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Происхождение / ссылки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E402F7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F6AB62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[30]</w:t>
            </w:r>
          </w:p>
        </w:tc>
      </w:tr>
      <w:tr w:rsidR="00A149F8" w14:paraId="7C451339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5B2D6C9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8E6CA9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F5E5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C7554D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[28, 30]</w:t>
            </w:r>
          </w:p>
        </w:tc>
      </w:tr>
      <w:tr w:rsidR="00A149F8" w14:paraId="07A9E63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0FF5E5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FD38B3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190CC1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AF2977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[18, 28]</w:t>
            </w:r>
          </w:p>
        </w:tc>
      </w:tr>
      <w:tr w:rsidR="00A149F8" w14:paraId="3C4776A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BF2472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F6 Threat Intelligence Feeds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38A0048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DDA575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C560D4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6FA8C23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CA041EF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B0E300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MD5; SHA-1; SHA-256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569F2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82507C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[13]</w:t>
            </w:r>
          </w:p>
        </w:tc>
      </w:tr>
    </w:tbl>
    <w:p w14:paraId="208BF1B9" w14:textId="77777777" w:rsidR="00A149F8" w:rsidRDefault="00B84485">
      <w:pPr>
        <w:keepNext/>
        <w:keepLines/>
        <w:pageBreakBefore/>
        <w:spacing w:before="0" w:after="0" w:line="240" w:lineRule="auto"/>
        <w:ind w:firstLine="0"/>
        <w:jc w:val="left"/>
      </w:pPr>
      <w:r>
        <w:rPr>
          <w:rFonts w:ascii="Times New Roman" w:hAnsi="Times New Roman"/>
          <w:sz w:val="28"/>
        </w:rPr>
        <w:t>Продолжение таблицы А.1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3E0F5F35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3C5015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7D0B30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0C71FB2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BBBC8B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4BB369F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82EF4FF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C79A5C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IP-адрес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1DA175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6BE403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3A4FC51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CF5ABC2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7CB08B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IPv4; IPv6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31958A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E69C24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[13]</w:t>
            </w:r>
          </w:p>
        </w:tc>
      </w:tr>
      <w:tr w:rsidR="00A149F8" w14:paraId="32A1241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148C7E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02A3D9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Домен / хост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F88AA2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8F5A3F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[19]</w:t>
            </w:r>
          </w:p>
        </w:tc>
      </w:tr>
      <w:tr w:rsidR="00A149F8" w14:paraId="2DCFC70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AF32208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C6D814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005115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D77890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6275FBE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7122A76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EF3B41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6503A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EE06B0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[13]</w:t>
            </w:r>
          </w:p>
        </w:tc>
      </w:tr>
      <w:tr w:rsidR="00A149F8" w14:paraId="4EBBE15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34D8E07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14E9CD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CVE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FE3354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A7FAA7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[13]</w:t>
            </w:r>
          </w:p>
        </w:tc>
      </w:tr>
      <w:tr w:rsidR="00A149F8" w14:paraId="7A8C5C8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8BF8F7C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7F03E3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ВПО / семейства; Группировки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68FD0B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6461B2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68924E8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5C61A61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BEEE0C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6319DD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881046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[13]</w:t>
            </w:r>
          </w:p>
        </w:tc>
      </w:tr>
      <w:tr w:rsidR="00A149F8" w14:paraId="56A75B6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FDADDC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A7B854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метки; Происхождение / ссылки; 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FB5723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EEAF43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[13, 19]</w:t>
            </w:r>
          </w:p>
        </w:tc>
      </w:tr>
      <w:tr w:rsidR="00A149F8" w14:paraId="21C1859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D69BF67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CE0B57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39EC1E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C8126F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[19]</w:t>
            </w:r>
          </w:p>
        </w:tc>
      </w:tr>
      <w:tr w:rsidR="00A149F8" w14:paraId="44684CA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82F996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PT Threat Intelligence Feeds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751BBA5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3C8538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73842D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4DDB0DE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0517EE7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17E54C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MD5; SHA-1; SHA-256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686859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1C0005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6BA515C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7B07AF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86ACDE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IP-адрес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69947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170B38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0DDDAA6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740EF79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12FC4C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IPv4; IPv6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09C0B1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D6319B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3925588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BDF7BF4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7A2F22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Домен / хост; 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130394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21134D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335D4EE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8C2EC64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8F3A9F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Email; CVE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6CD642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08898D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6BE66D2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DA97825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972F71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ВПО / семейства; Группировки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A7CEF9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5FF3D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486C69C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1F73AD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4999F6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485F77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27332A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2627664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2240098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A378B4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FE613C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890CD7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[20]</w:t>
            </w:r>
          </w:p>
        </w:tc>
      </w:tr>
      <w:tr w:rsidR="00A149F8" w14:paraId="7AD7F1C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08AE0DF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AE19E4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Происхождение / ссылки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C811C4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02587C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[20, 32]</w:t>
            </w:r>
          </w:p>
        </w:tc>
      </w:tr>
      <w:tr w:rsidR="00A149F8" w14:paraId="685C33D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96265FC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EEF4B8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D31C28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90177C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[20, 32, 33]</w:t>
            </w:r>
          </w:p>
        </w:tc>
      </w:tr>
      <w:tr w:rsidR="00A149F8" w14:paraId="2C4F7C5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43D2A80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9944C3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93C9A0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4EE7D7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[31]</w:t>
            </w:r>
          </w:p>
        </w:tc>
      </w:tr>
      <w:tr w:rsidR="00A149F8" w14:paraId="7780454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06308F4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25B343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FEEBE9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513110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[20, 31]</w:t>
            </w:r>
          </w:p>
        </w:tc>
      </w:tr>
      <w:tr w:rsidR="00A149F8" w14:paraId="5916335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EEDAC0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BI.ZONE Threat Intelligence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4EEE35A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файла; MD5; SHA-1; SHA-256; IP-адрес; IPv4; IPv6; Домен / хост; URL; Email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38E2E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09D997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[12, 29]</w:t>
            </w:r>
          </w:p>
        </w:tc>
      </w:tr>
      <w:tr w:rsidR="00A149F8" w14:paraId="4DBDB1E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3BB7B46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A7505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CVE; ВПО / семейства; Группировки; 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66FF76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072589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[12]</w:t>
            </w:r>
          </w:p>
        </w:tc>
      </w:tr>
    </w:tbl>
    <w:p w14:paraId="208BF1B9" w14:textId="77777777" w:rsidR="00A149F8" w:rsidRDefault="00B84485">
      <w:pPr>
        <w:keepNext/>
        <w:keepLines/>
        <w:pageBreakBefore/>
        <w:spacing w:before="0" w:after="0" w:line="240" w:lineRule="auto"/>
        <w:ind w:firstLine="0"/>
        <w:jc w:val="left"/>
      </w:pPr>
      <w:r>
        <w:rPr>
          <w:rFonts w:ascii="Times New Roman" w:hAnsi="Times New Roman"/>
          <w:sz w:val="28"/>
        </w:rPr>
        <w:t>Продолжение таблицы А.1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3E0F5F35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3C5015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7D0B30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0C71FB2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BBBC8B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4FD23D0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15FFB30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A34205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Временные метки; Происхождение / ссылки; 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CC9F43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AAAA6E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[12, 29]</w:t>
            </w:r>
          </w:p>
        </w:tc>
      </w:tr>
      <w:tr w:rsidR="00A149F8" w14:paraId="379694A9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F7CA743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C298E2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13E6B3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2A3238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[12, 29]</w:t>
            </w:r>
          </w:p>
        </w:tc>
      </w:tr>
      <w:tr w:rsidR="00A149F8" w14:paraId="18E60F3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6D1EE1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Recorded Future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5EA7A1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файла; MD5; SHA-1; SHA-256; IP-адрес; IPv4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FFAE19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6ACA94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[21, 22]</w:t>
            </w:r>
          </w:p>
        </w:tc>
      </w:tr>
      <w:tr w:rsidR="00A149F8" w14:paraId="5B8C4EB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3F63410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73838B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IPv6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E44B0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B1E115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[21, 22]</w:t>
            </w:r>
          </w:p>
        </w:tc>
      </w:tr>
      <w:tr w:rsidR="00A149F8" w14:paraId="1D8A15C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0B46B9E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4915B8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Домен / хост; 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770F65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3A6B56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[21, 22]</w:t>
            </w:r>
          </w:p>
        </w:tc>
      </w:tr>
      <w:tr w:rsidR="00A149F8" w14:paraId="5E102BB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57303B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86307D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313E1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E28CB6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[21, 22]</w:t>
            </w:r>
          </w:p>
        </w:tc>
      </w:tr>
      <w:tr w:rsidR="00A149F8" w14:paraId="5C11B0D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D69407B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9DB68F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CVE; ВПО / семейства; Группировки; 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15724C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72B881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[21, 22]</w:t>
            </w:r>
          </w:p>
        </w:tc>
      </w:tr>
      <w:tr w:rsidR="00A149F8" w14:paraId="326CD68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F908CDE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778DC5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метки; Происхождение / ссылки; Оценка опасности / достоверности; 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2AAD31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E7039F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[21]</w:t>
            </w:r>
          </w:p>
        </w:tc>
      </w:tr>
      <w:tr w:rsidR="00A149F8" w14:paraId="576E3A6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2DFF22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VirusTotal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459856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файла; MD5; SHA-1; SHA-256; IP-адрес; IPv4; IPv6; Домен / хост; 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95EB17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0CA997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074095A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5675B3C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923F8B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Email; CVE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4088DB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731A98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7357AE49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3B9EEB3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F072A5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ВПО / семейства; Группировки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0F0E36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450303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44D108B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5C618B7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BAED11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C972F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F08EF4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5B01B81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248CAC6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D97C36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метки; Происхождение / ссылки; Оценка опасности / достоверности; Выдача STIX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23120F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1CA5A9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3077B73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8DF7049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EE3659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4BDB0E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C38F76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[23]</w:t>
            </w:r>
          </w:p>
        </w:tc>
      </w:tr>
      <w:tr w:rsidR="00A149F8" w14:paraId="2EFD5D7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BBD2EA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AlienVault OTX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3B446F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файла; MD5; SHA-1; SHA-256; IP-адрес; IPv4; IPv6; Домен / хост; URL; Email; CVE; ВПО / семейства; Группировки; MITRE ATT&amp;CK / TTP; Временные метки; Происхождение / ссылки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6133A7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AB78F3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[24]</w:t>
            </w:r>
          </w:p>
        </w:tc>
      </w:tr>
      <w:tr w:rsidR="00A149F8" w14:paraId="1C41C63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919B6B9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A83957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50A1A9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FAC338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[24]</w:t>
            </w:r>
          </w:p>
        </w:tc>
      </w:tr>
      <w:tr w:rsidR="00A149F8" w14:paraId="53E0E75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25E15B5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E737F8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FF0D99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5D7D3B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[34]</w:t>
            </w:r>
          </w:p>
        </w:tc>
      </w:tr>
    </w:tbl>
    <w:p w14:paraId="208BF1B9" w14:textId="77777777" w:rsidR="00A149F8" w:rsidRDefault="00B84485">
      <w:pPr>
        <w:keepNext/>
        <w:keepLines/>
        <w:pageBreakBefore/>
        <w:spacing w:before="0" w:after="0" w:line="240" w:lineRule="auto"/>
        <w:ind w:firstLine="0"/>
        <w:jc w:val="left"/>
      </w:pPr>
      <w:r>
        <w:rPr>
          <w:rFonts w:ascii="Times New Roman" w:hAnsi="Times New Roman"/>
          <w:sz w:val="28"/>
        </w:rPr>
        <w:t>Продолжение таблицы А.1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3E0F5F35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3C5015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7D0B30E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0C71FB21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BBBC8B4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494D9AE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618F89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ThreatFox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37055A8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файла; MD5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36DA9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108CA8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2DB695F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13C097A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7445AC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SHA-1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5C16E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BE7911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0E1BF7F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0A3365C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069524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SHA-256; IP-адрес; IPv4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0385FBA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61426A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06F81BA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2038428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BF1E7C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IPv6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563AD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91C8A7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0866DE0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74A4A4E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81194B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Домен / хост; 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582E60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9C07C2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2A51258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D6146F3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7EBDB4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Email; CVE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E47139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7C6A2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553BA80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618A8C6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B0F5E6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ВПО / семейства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7A5E1F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1DAE2C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67C0556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CAA721A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61E853E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Группировки; 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8E83D9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09037F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425EEDD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8991354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3875F3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метки; Происхождение / ссылки; 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B5CE22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55CC0D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4A67433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ED6527A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0F26ED3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366F0C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F2F088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[25]</w:t>
            </w:r>
          </w:p>
        </w:tc>
      </w:tr>
      <w:tr w:rsidR="00A149F8" w14:paraId="1CEBF5E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68B627C" w14:textId="77777777" w:rsidR="00A149F8" w:rsidRPr="00364EE0" w:rsidRDefault="00B84485">
            <w:pPr>
              <w:keepNext w:val="0"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URLhaus Plain-Text URL List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5C4E1B64" w14:textId="77777777" w:rsidR="00A149F8" w:rsidRPr="00364EE0" w:rsidRDefault="00B84485">
            <w:pPr>
              <w:keepNext w:val="0"/>
              <w:keepLines w:val="0"/>
              <w:spacing w:after="0" w:line="240" w:lineRule="auto" w:before="0"/>
              <w:ind w:firstLine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файла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 MD5; SHA-1; SHA-256; IP-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; IPv4; IPv6;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Домен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хост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7DBE5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1FC08D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[26]</w:t>
            </w:r>
          </w:p>
        </w:tc>
      </w:tr>
      <w:tr w:rsidR="00A149F8" w14:paraId="7E49F51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3455192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5571FC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URL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A6B426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FDE4D5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[26]</w:t>
            </w:r>
          </w:p>
        </w:tc>
      </w:tr>
      <w:tr w:rsidR="00A149F8" w14:paraId="4A1E58B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64C8889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11EE2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Email; CVE; ВПО / семейства; Группировки; MITRE ATT&amp;CK / TTP; Временные метки; Происхождение / ссылки; 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8E38C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C91380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[26]</w:t>
            </w:r>
          </w:p>
        </w:tc>
      </w:tr>
      <w:tr w:rsidR="00A149F8" w14:paraId="665DA17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93EB3A9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57F16F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9FC60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77D20B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[25, 26]</w:t>
            </w:r>
          </w:p>
        </w:tc>
      </w:tr>
      <w:tr w:rsidR="00A149F8" w14:paraId="2E16433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109266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MalwareBazaar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4713302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Хеш файла; MD5; SHA-1; SHA-256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62A65B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38CDD6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  <w:tr w:rsidR="00A149F8" w14:paraId="691819C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71D2817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497BA0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IP-адрес; IPv4; IPv6; Домен / хост; URL; Email; CVE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BC920F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E02B64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  <w:tr w:rsidR="00A149F8" w14:paraId="294E206E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CA30DBD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652E8F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ВПО / семейства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5BF6B3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B81455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  <w:tr w:rsidR="00A149F8" w14:paraId="0144135E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53EDF53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80A31F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Группировки; MITRE ATT&amp;CK / TTP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A2ACCA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6F933C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  <w:tr w:rsidR="00A149F8" w14:paraId="3800819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BA7A7DC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9DF6AE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Временные метки; Происхождение / ссылки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B1600C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629431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  <w:tr w:rsidR="00A149F8" w14:paraId="7072749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06780700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5B1449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Оценка опасности / достоверности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CA2556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AB297B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[27]</w:t>
            </w:r>
          </w:p>
        </w:tc>
      </w:tr>
      <w:tr w:rsidR="00A149F8" w14:paraId="0CF854A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1F0628E" w14:textId="77777777" w:rsidR="00A149F8" w:rsidRDefault="00A149F8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E01D25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Выдача STIX; Собственная выдача TAXII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6EFAEC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410A0E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[25, 27]</w:t>
            </w:r>
          </w:p>
        </w:tc>
      </w:tr>
    </w:tbl>
    <w:p w14:paraId="2DD4ECCE" w14:textId="77777777" w:rsidR="00A149F8" w:rsidRDefault="00A149F8">
      <w:pPr>
        <w:spacing w:after="0" w:line="240" w:lineRule="auto"/>
        <w:ind w:firstLine="709"/>
        <w:jc w:val="both"/>
      </w:pPr>
    </w:p>
    <w:p w14:paraId="5C8D55A7" w14:textId="77777777" w:rsidR="00A149F8" w:rsidRDefault="00B84485">
      <w:pPr>
        <w:keepNext/>
        <w:keepLines/>
        <w:pageBreakBefore/>
        <w:spacing w:before="0" w:after="0" w:line="240" w:lineRule="auto"/>
        <w:ind w:firstLine="0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А.2 — Основания оценок инструментов работы с публикациями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1335D1E7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51BD81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083CA2F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1944F70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5C5E02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17F7BC9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D40B41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Elicit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4DA28A2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130668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341B44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[35]</w:t>
            </w:r>
          </w:p>
        </w:tc>
      </w:tr>
      <w:tr w:rsidR="00A149F8" w14:paraId="24C659D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865E4B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89ED8B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AB8C08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866761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[37]</w:t>
            </w:r>
          </w:p>
        </w:tc>
      </w:tr>
      <w:tr w:rsidR="00A149F8" w14:paraId="1D1AC65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E12217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B86E0C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цитирований; Тематическая организация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CE4A18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6BACC2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[35–39]</w:t>
            </w:r>
          </w:p>
        </w:tc>
      </w:tr>
      <w:tr w:rsidR="00A149F8" w14:paraId="1CFCC8CE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007A4E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88C5D8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текст; Извлечение по схеме; 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35CA63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4AFEBD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[35]</w:t>
            </w:r>
          </w:p>
        </w:tc>
      </w:tr>
      <w:tr w:rsidR="00A149F8" w14:paraId="7FEA1F9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E8AC51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E8EF15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3439CF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90019C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[36]</w:t>
            </w:r>
          </w:p>
        </w:tc>
      </w:tr>
      <w:tr w:rsidR="00A149F8" w14:paraId="6134554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A9E318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E99D00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02848A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303B3C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[35]</w:t>
            </w:r>
          </w:p>
        </w:tc>
      </w:tr>
      <w:tr w:rsidR="00A149F8" w14:paraId="4CB0FEC9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049FB6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C7742B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D177C0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E9CE85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[35–38]</w:t>
            </w:r>
          </w:p>
        </w:tc>
      </w:tr>
      <w:tr w:rsidR="00A149F8" w14:paraId="4BA58AE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FB94B5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SciSpace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1EC3E76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CA9F71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E79039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[40]</w:t>
            </w:r>
          </w:p>
        </w:tc>
      </w:tr>
      <w:tr w:rsidR="00A149F8" w14:paraId="2272712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D7D963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DEE4B4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Мониторинг; 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EAC6D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AFE44C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[40]</w:t>
            </w:r>
          </w:p>
        </w:tc>
      </w:tr>
      <w:tr w:rsidR="00A149F8" w14:paraId="31E38DC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D147BD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6FF550A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организация; Полный текст; Извлечение по схеме; 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DB7DB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EC3D43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[40]</w:t>
            </w:r>
          </w:p>
        </w:tc>
      </w:tr>
      <w:tr w:rsidR="00A149F8" w14:paraId="52173FE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D437BD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A17EED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89550F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4AA053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[57]</w:t>
            </w:r>
          </w:p>
        </w:tc>
      </w:tr>
      <w:tr w:rsidR="00A149F8" w14:paraId="22C3DF3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2F4CCF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A447C3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39DF03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E4DE79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[40]</w:t>
            </w:r>
          </w:p>
        </w:tc>
      </w:tr>
      <w:tr w:rsidR="00A149F8" w14:paraId="5399171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854227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586AC8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37620D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10AD41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[40]</w:t>
            </w:r>
          </w:p>
        </w:tc>
      </w:tr>
      <w:tr w:rsidR="00A149F8" w14:paraId="691CF9E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627CD8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Scite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624B1B5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статей; Мониторинг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E816F4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BA63BD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[41]</w:t>
            </w:r>
          </w:p>
        </w:tc>
      </w:tr>
      <w:tr w:rsidR="00A149F8" w14:paraId="2561A22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C37A0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16C390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25AD40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EF004C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[44]</w:t>
            </w:r>
          </w:p>
        </w:tc>
      </w:tr>
      <w:tr w:rsidR="00A149F8" w14:paraId="5552124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D8773B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2CEDC8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C84791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42BFCD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[41–43]</w:t>
            </w:r>
          </w:p>
        </w:tc>
      </w:tr>
      <w:tr w:rsidR="00A149F8" w14:paraId="2C8CA12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3B8121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058604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A32766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176EDD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[41]</w:t>
            </w:r>
          </w:p>
        </w:tc>
      </w:tr>
      <w:tr w:rsidR="00A149F8" w14:paraId="7D22F0C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E7E432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7DF99B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Извлечение по схеме; Собственные поля; Фрагменты; 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4EA445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110B58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[42]</w:t>
            </w:r>
          </w:p>
        </w:tc>
      </w:tr>
      <w:tr w:rsidR="00A149F8" w14:paraId="4349A01B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8FA8B8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72D954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EA4415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8BF224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[41–43]</w:t>
            </w:r>
          </w:p>
        </w:tc>
      </w:tr>
      <w:tr w:rsidR="00A149F8" w14:paraId="5241FC5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EB428B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Consensus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76D3637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D05CCB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996E99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[45]</w:t>
            </w:r>
          </w:p>
        </w:tc>
      </w:tr>
      <w:tr w:rsidR="00A149F8" w14:paraId="1393712E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F1379B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D8312C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D9189F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3B59F1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[45–47]</w:t>
            </w:r>
          </w:p>
        </w:tc>
      </w:tr>
      <w:tr w:rsidR="00A149F8" w14:paraId="28C95B8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52275C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3C3FC9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C725CC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12CA02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[45]</w:t>
            </w:r>
          </w:p>
        </w:tc>
      </w:tr>
      <w:tr w:rsidR="00A149F8" w14:paraId="777F150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8A48F1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D75321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C1165B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93EC1A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[45–47]</w:t>
            </w:r>
          </w:p>
        </w:tc>
      </w:tr>
      <w:tr w:rsidR="00A149F8" w14:paraId="2C381C0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C8F74F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CBD0F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текст; Извлечение по схеме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EAC638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A4F12C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[45]</w:t>
            </w:r>
          </w:p>
        </w:tc>
      </w:tr>
      <w:tr w:rsidR="00A149F8" w14:paraId="3B3AFB5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D137C4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D0948B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C2B94B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92DAAE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[45]</w:t>
            </w:r>
          </w:p>
        </w:tc>
      </w:tr>
      <w:tr w:rsidR="00A149F8" w14:paraId="7B93643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A28E80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DC7955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FE1685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E1D11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[45]</w:t>
            </w:r>
          </w:p>
        </w:tc>
      </w:tr>
    </w:tbl>
    <w:p w14:paraId="5C8D55A7" w14:textId="77777777" w:rsidR="00A149F8" w:rsidRDefault="00B84485">
      <w:pPr>
        <w:keepNext/>
        <w:keepLines/>
        <w:pageBreakBefore/>
        <w:spacing w:before="0" w:after="0" w:line="240" w:lineRule="auto"/>
        <w:ind w:firstLine="0"/>
        <w:jc w:val="left"/>
      </w:pPr>
      <w:r>
        <w:rPr>
          <w:rFonts w:ascii="Times New Roman" w:hAnsi="Times New Roman"/>
          <w:sz w:val="28"/>
        </w:rPr>
        <w:t>Продолжение таблицы А.2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1335D1E7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51BD81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083CA2F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1944F70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5C5E02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3CD2A53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8BFCD6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828E0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B89212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8FF704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[45–47]</w:t>
            </w:r>
          </w:p>
        </w:tc>
      </w:tr>
      <w:tr w:rsidR="00A149F8" w14:paraId="4A64EFB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C144F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F930A2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A3A018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6008E6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[45]</w:t>
            </w:r>
          </w:p>
        </w:tc>
      </w:tr>
      <w:tr w:rsidR="00A149F8" w14:paraId="4CAF411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8CD396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Semantic Scholar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7B84107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статей; Мониторинг; 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BFAF41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28D5EC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6D96A10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938ACA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6502F08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851EB5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7C4040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6732C799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9CA7D9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7A136E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2D51E4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9FA245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41619D2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934D4D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90AC1B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Извлечение по схеме; 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6DA05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BBA75A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3D7FD91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596698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C6AAB1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2E3578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B18D4C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178BD18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5829BF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E329C9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извлечений; 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EFCFEB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F31550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[48]</w:t>
            </w:r>
          </w:p>
        </w:tc>
      </w:tr>
      <w:tr w:rsidR="00A149F8" w14:paraId="6E82B0F3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BEE3B7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ResearchRabbit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7255756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4CA91C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08E38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[50]</w:t>
            </w:r>
          </w:p>
        </w:tc>
      </w:tr>
      <w:tr w:rsidR="00A149F8" w14:paraId="4F8D881E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FB1D7C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2EE4FA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0AA3C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F8AC15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[49, 50]</w:t>
            </w:r>
          </w:p>
        </w:tc>
      </w:tr>
      <w:tr w:rsidR="00A149F8" w14:paraId="56540C0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A507CF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54B7D8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97EF90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369143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[50]</w:t>
            </w:r>
          </w:p>
        </w:tc>
      </w:tr>
      <w:tr w:rsidR="00A149F8" w14:paraId="7E970B0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3903B8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186CBB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организация; Полный текст; Извлечение по схеме; Собственные поля; 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8DE296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71B555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[49, 50]</w:t>
            </w:r>
          </w:p>
        </w:tc>
      </w:tr>
      <w:tr w:rsidR="00A149F8" w14:paraId="3DEC36A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66D982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3A34D2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A6B351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5286FA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[50]</w:t>
            </w:r>
          </w:p>
        </w:tc>
      </w:tr>
      <w:tr w:rsidR="00A149F8" w14:paraId="1A9F3E1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763781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0B24CE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D8943F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351605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[49, 50]</w:t>
            </w:r>
          </w:p>
        </w:tc>
      </w:tr>
      <w:tr w:rsidR="00A149F8" w14:paraId="2DDDF4F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68E4D7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Litmaps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35DBED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DB0C33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44A464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[51]</w:t>
            </w:r>
          </w:p>
        </w:tc>
      </w:tr>
      <w:tr w:rsidR="00A149F8" w14:paraId="275702E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18B484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E13423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A61461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B68662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[51, 52]</w:t>
            </w:r>
          </w:p>
        </w:tc>
      </w:tr>
      <w:tr w:rsidR="00A149F8" w14:paraId="45A009F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1A1AE6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4164E5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08623A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2A5862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[51]</w:t>
            </w:r>
          </w:p>
        </w:tc>
      </w:tr>
      <w:tr w:rsidR="00A149F8" w14:paraId="38C8447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46D7A0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F43B37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организация; Полный текст; Извлечение по схеме; Собственные поля; Фрагменты; Экспорт извлечений; 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E0E557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87DDE8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[51, 52]</w:t>
            </w:r>
          </w:p>
        </w:tc>
      </w:tr>
      <w:tr w:rsidR="00A149F8" w14:paraId="5F0D477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0101B1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Iris.ai RSpace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6862189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DFA545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1FB9F8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[53]</w:t>
            </w:r>
          </w:p>
        </w:tc>
      </w:tr>
      <w:tr w:rsidR="00A149F8" w14:paraId="4A734D2E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3D5F0E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668DB96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Мониторинг; 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EB1444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6E93D3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[53]</w:t>
            </w:r>
          </w:p>
        </w:tc>
      </w:tr>
      <w:tr w:rsidR="00A149F8" w14:paraId="7620B4D1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F7C419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3D60A4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организация; Полный текст; Извлечение по схеме; Собственные поля; Фрагменты; 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7FF00C4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71D15B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[53]</w:t>
            </w:r>
          </w:p>
        </w:tc>
      </w:tr>
      <w:tr w:rsidR="00A149F8" w14:paraId="4272865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796376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23978D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F3F21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4311BD0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[53]</w:t>
            </w:r>
          </w:p>
        </w:tc>
      </w:tr>
    </w:tbl>
    <w:p w14:paraId="5C8D55A7" w14:textId="77777777" w:rsidR="00A149F8" w:rsidRDefault="00B84485">
      <w:pPr>
        <w:keepNext/>
        <w:keepLines/>
        <w:pageBreakBefore/>
        <w:spacing w:before="0" w:after="0" w:line="240" w:lineRule="auto"/>
        <w:ind w:firstLine="0"/>
        <w:jc w:val="left"/>
      </w:pPr>
      <w:r>
        <w:rPr>
          <w:rFonts w:ascii="Times New Roman" w:hAnsi="Times New Roman"/>
          <w:sz w:val="28"/>
        </w:rPr>
        <w:t>Продолжение таблицы А.2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500"/>
        <w:gridCol w:w="3555"/>
        <w:gridCol w:w="1700"/>
        <w:gridCol w:w="1600"/>
      </w:tblGrid>
      <w:tr w:rsidR="00A149F8" w14:paraId="1335D1E7" w14:textId="77777777">
        <w:trPr>
          <w:tblHeader/>
          <w:cantSplit/>
        </w:trPr>
        <w:tc>
          <w:tcPr>
            <w:tcW w:w="2500" w:type="dxa"/>
            <w:vAlign w:val="center"/>
            <w:shd w:fill="FFFFFF" w:val="clear" w:color="auto"/>
          </w:tcPr>
          <w:p w14:paraId="351BD810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Решение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083CA2FA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Признак</w:t>
            </w:r>
          </w:p>
        </w:tc>
        <w:tc>
          <w:tcPr>
            <w:tcW w:w="1700" w:type="dxa"/>
            <w:vAlign w:val="center"/>
            <w:shd w:fill="FFFFFF" w:val="clear" w:color="auto"/>
          </w:tcPr>
          <w:p w14:paraId="1944F709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Оценка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05C5E02D" w14:textId="77777777" w:rsidR="00A149F8" w:rsidRDefault="00B84485">
            <w:pPr>
              <w:keepNext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color w:val="000000"/>
                <w:sz w:val="24"/>
                <w:szCs w:val="24"/>
              </w:rPr>
              <w:t>Источник</w:t>
            </w:r>
          </w:p>
        </w:tc>
      </w:tr>
      <w:tr w:rsidR="00A149F8" w14:paraId="162E3FE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9735A1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ORKG ASK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234F069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289938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351D22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3ECEE4F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945979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91F841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Мониторинг; Граф цитирований; Тематическая организация; Полный текст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497C81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C0C740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14CCA86C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A98CC2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76C823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Извлечение по схеме; 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0F3A77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B7B3A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2ECE0B92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B0051A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781B3A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586AA4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8F105C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79D64A5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B9C7BE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688B7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656A51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790EED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604FBB5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860C9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FD8BE1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C93182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60B8599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[54]</w:t>
            </w:r>
          </w:p>
        </w:tc>
      </w:tr>
      <w:tr w:rsidR="00A149F8" w14:paraId="42C66D0A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A9FA47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Киберграф на HSNMFk-SPLIT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17EB187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9DE82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AF3057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7DE24B65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658F14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C4C68C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Мониторинг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5F66BD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740CB9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553531F6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10BDF5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511EAC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Граф цитирований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5A6592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2276F35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7876D41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F13D0E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913B32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Тематическая организация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77C551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7B682A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591D39B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74BDD4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7220AC5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1D30EDF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A71DFC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561C7D94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1C7EAA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280C286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Извлечение по схеме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3FAAB90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C789AE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5F3BB4D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B26721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1809781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83D386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7A102D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46BB583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A5CDAE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F8A8292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671758A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40F68B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4A01F21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737C3B8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835F97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B98D78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AF3B0E8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270298CD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E4854AC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65EC3D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FCC713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5AE3A1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[55]</w:t>
            </w:r>
          </w:p>
        </w:tc>
      </w:tr>
      <w:tr w:rsidR="00A149F8" w14:paraId="5986B75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6978A64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AI-security Knowledge Graph</w:t>
            </w:r>
          </w:p>
        </w:tc>
        <w:tc>
          <w:tcPr>
            <w:tcW w:w="3555" w:type="dxa"/>
            <w:vAlign w:val="center"/>
            <w:shd w:fill="FFFFFF" w:val="clear" w:color="auto"/>
          </w:tcPr>
          <w:p w14:paraId="73D1751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Поиск статей; Мониторинг; Граф цитирований; Тематическая организация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F3E8DF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A7A399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  <w:tr w:rsidR="00A149F8" w14:paraId="6D5E7690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366E902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5339A390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Полный текст; Извлечение по схеме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F5FF90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3BF702E6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  <w:tr w:rsidR="00A149F8" w14:paraId="1F1CC78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4973661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34DB250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Собственные поля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DF25E7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95EA567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  <w:tr w:rsidR="00A149F8" w14:paraId="3BC87C17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518703DE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5850C7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Фрагменты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251D7A6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70E9FE7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  <w:tr w:rsidR="00A149F8" w14:paraId="658818E8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23743AAA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4E9657C1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Экспорт извлечений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45FA3634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Не установлено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1504BE4B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  <w:tr w:rsidR="00A149F8" w14:paraId="750109AF" w14:textId="77777777">
        <w:trPr>
          <w:cantSplit/>
        </w:trPr>
        <w:tc>
          <w:tcPr>
            <w:tcW w:w="2500" w:type="dxa"/>
            <w:vAlign w:val="center"/>
            <w:shd w:fill="FFFFFF" w:val="clear" w:color="auto"/>
          </w:tcPr>
          <w:p w14:paraId="19EF77C3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</w:p>
        </w:tc>
        <w:tc>
          <w:tcPr>
            <w:tcW w:w="3555" w:type="dxa"/>
            <w:vAlign w:val="center"/>
            <w:shd w:fill="FFFFFF" w:val="clear" w:color="auto"/>
          </w:tcPr>
          <w:p w14:paraId="71DD754F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Схема угроз и защиты</w:t>
            </w:r>
          </w:p>
        </w:tc>
        <w:tc>
          <w:tcPr>
            <w:tcW w:w="1700" w:type="dxa"/>
            <w:shd w:val="clear" w:color="auto" w:fill="FFFFFF"/>
            <w:vAlign w:val="center"/>
          </w:tcPr>
          <w:p w14:paraId="576F06BD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600" w:type="dxa"/>
            <w:vAlign w:val="center"/>
            <w:shd w:fill="FFFFFF" w:val="clear" w:color="auto"/>
          </w:tcPr>
          <w:p w14:paraId="5958E9F9" w14:textId="77777777" w:rsidR="00A149F8" w:rsidRDefault="00B84485">
            <w:pPr>
              <w:keepNext w:val="0"/>
              <w:keepLines w:val="0"/>
              <w:spacing w:after="0" w:line="240" w:lineRule="auto" w:before="0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[56]</w:t>
            </w:r>
          </w:p>
        </w:tc>
      </w:tr>
    </w:tbl>
    <w:p w14:paraId="5398183D" w14:textId="77777777" w:rsidR="00A149F8" w:rsidRDefault="00A149F8">
      <w:pPr>
        <w:spacing w:after="0" w:line="240" w:lineRule="auto"/>
        <w:ind w:firstLine="709"/>
        <w:jc w:val="both"/>
      </w:pPr>
    </w:p>
    <w:sectPr w:rsidR="00A149F8">
      <w:footerReference w:type="default" r:id="rId8"/>
      <w:pgSz w:w="11906" w:h="16838"/>
      <w:pgMar w:top="1134" w:right="850" w:bottom="1134" w:left="1701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AB66B" w14:textId="77777777" w:rsidR="00B84485" w:rsidRDefault="00B84485">
      <w:pPr>
        <w:spacing w:after="0" w:line="240" w:lineRule="auto"/>
      </w:pPr>
      <w:r>
        <w:separator/>
      </w:r>
    </w:p>
  </w:endnote>
  <w:endnote w:type="continuationSeparator" w:id="0">
    <w:p w14:paraId="7BBAAC21" w14:textId="77777777" w:rsidR="00B84485" w:rsidRDefault="00B84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01868" w14:textId="77777777" w:rsidR="00A149F8" w:rsidRDefault="00B84485">
    <w:pPr>
      <w:jc w:val="center"/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 xml:space="preserve"> PAGE 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760F9" w14:textId="77777777" w:rsidR="00B84485" w:rsidRDefault="00B84485">
      <w:pPr>
        <w:spacing w:after="0" w:line="240" w:lineRule="auto"/>
      </w:pPr>
      <w:r>
        <w:separator/>
      </w:r>
    </w:p>
  </w:footnote>
  <w:footnote w:type="continuationSeparator" w:id="0">
    <w:p w14:paraId="78CEBF8A" w14:textId="77777777" w:rsidR="00B84485" w:rsidRDefault="00B84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E6CE3"/>
    <w:multiLevelType w:val="hybridMultilevel"/>
    <w:tmpl w:val="80023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C0698"/>
    <w:multiLevelType w:val="multilevel"/>
    <w:tmpl w:val="58F632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425"/>
      </w:pPr>
      <w:rPr>
        <w:rFonts w:ascii="Times New Roman" w:hAnsi="Times New Roman"/>
        <w:sz w:val="28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BC"/>
    <w:rsid w:val="000309EB"/>
    <w:rsid w:val="00033C68"/>
    <w:rsid w:val="00090F48"/>
    <w:rsid w:val="00116569"/>
    <w:rsid w:val="002E6200"/>
    <w:rsid w:val="003528A0"/>
    <w:rsid w:val="00364EE0"/>
    <w:rsid w:val="003A0305"/>
    <w:rsid w:val="00506DA0"/>
    <w:rsid w:val="0068107E"/>
    <w:rsid w:val="006A5B7B"/>
    <w:rsid w:val="006E1011"/>
    <w:rsid w:val="008139BC"/>
    <w:rsid w:val="00852747"/>
    <w:rsid w:val="00861EFB"/>
    <w:rsid w:val="00A149F8"/>
    <w:rsid w:val="00B55851"/>
    <w:rsid w:val="00B84485"/>
    <w:rsid w:val="00CA56DE"/>
    <w:rsid w:val="00D55D36"/>
    <w:rsid w:val="00DB2EE9"/>
    <w:rsid w:val="00E1334F"/>
    <w:rsid w:val="00ED2AA8"/>
    <w:rsid w:val="00F72BE4"/>
    <w:rsid w:val="00FA586B"/>
    <w:rsid w:val="00FE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E2B37"/>
  <w15:chartTrackingRefBased/>
  <w15:docId w15:val="{ACD9EDB9-6B98-43FC-99EE-5264BBB4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28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D2AA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D2AA8"/>
    <w:rPr>
      <w:color w:val="605E5C"/>
      <w:shd w:val="clear" w:color="auto" w:fill="E1DFDD"/>
    </w:rPr>
  </w:style>
  <w:style w:type="character" w:styleId="a6">
    <w:name w:val="annotation reference"/>
    <w:basedOn w:val="a0"/>
    <w:uiPriority w:val="99"/>
    <w:semiHidden/>
    <w:unhideWhenUsed/>
    <w:rsid w:val="00090F4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090F4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090F4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090F48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090F48"/>
    <w:rPr>
      <w:b/>
      <w:bCs/>
      <w:sz w:val="20"/>
      <w:szCs w:val="20"/>
    </w:rPr>
  </w:style>
  <w:style w:type="table" w:styleId="ab">
    <w:name w:val="Table Grid"/>
    <w:basedOn w:val="a1"/>
    <w:uiPriority w:val="39"/>
    <w:rsid w:val="00CA56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1"/>
    <w:basedOn w:val="a"/>
    <w:qFormat/>
    <w:pPr>
      <w:keepNext/>
      <w:keepLines/>
      <w:outlineLvl w:val="0"/>
    </w:pPr>
    <w:rPr>
      <w:rFonts w:ascii="Times New Roman" w:hAnsi="Times New Roman"/>
      <w:b/>
      <w:color w:val="000000"/>
      <w:sz w:val="28"/>
    </w:rPr>
  </w:style>
  <w:style w:type="paragraph" w:customStyle="1" w:styleId="21">
    <w:name w:val="Заголовок 21"/>
    <w:basedOn w:val="a"/>
    <w:qFormat/>
    <w:pPr>
      <w:keepNext/>
      <w:keepLines/>
      <w:outlineLvl w:val="1"/>
    </w:pPr>
    <w:rPr>
      <w:rFonts w:ascii="Times New Roman" w:hAnsi="Times New Roman"/>
      <w:b/>
      <w:color w:val="000000"/>
      <w:sz w:val="28"/>
    </w:rPr>
  </w:style>
  <w:style w:type="paragraph" w:customStyle="1" w:styleId="Heading1">
    <w:name w:val="heading 1"/>
    <w:pPr>
      <w:keepNext/>
      <w:spacing w:line="360" w:lineRule="auto"/>
      <w:ind w:firstLine="709"/>
      <w:outlineLvl w:val="0"/>
    </w:pPr>
    <w:rPr>
      <w:rFonts w:ascii="Times New Roman" w:hAnsi="Times New Roman"/>
      <w:b/>
      <w:color w:val="000000"/>
      <w:sz w:val="28"/>
      <w:u w:val="none"/>
    </w:rPr>
  </w:style>
  <w:style w:type="paragraph" w:customStyle="1" w:styleId="Heading2">
    <w:name w:val="heading 2"/>
    <w:pPr>
      <w:keepNext/>
      <w:spacing w:line="360" w:lineRule="auto"/>
      <w:ind w:firstLine="709"/>
      <w:outlineLvl w:val="1"/>
    </w:pPr>
    <w:rPr>
      <w:rFonts w:ascii="Times New Roman" w:hAnsi="Times New Roman"/>
      <w:b/>
      <w:color w:val="000000"/>
      <w:sz w:val="28"/>
      <w:u w:val="none"/>
    </w:rPr>
  </w:style>
  <w:style w:type="paragraph" w:customStyle="1" w:styleId="Heading3">
    <w:name w:val="heading 3"/>
    <w:pPr>
      <w:keepNext/>
      <w:spacing w:line="360" w:lineRule="auto"/>
      <w:ind w:firstLine="709"/>
      <w:outlineLvl w:val="2"/>
    </w:pPr>
    <w:rPr>
      <w:rFonts w:ascii="Times New Roman" w:hAnsi="Times New Roman"/>
      <w:b/>
      <w:color w:val="000000"/>
      <w:sz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9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2557C-EA30-4641-812E-216A27A13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50</Pages>
  <Words>12063</Words>
  <Characters>68762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Анализ предметной области, решений киберразведки и средств обработки научных публикаций</dc:title>
  <dc:subject>Анализ предметной области и обоснование системы мониторинга и анализа научных публикаций</dc:subject>
  <dc:creator>grisha tishkov</dc:creator>
  <cp:keywords/>
  <dc:description/>
  <cp:lastModifiedBy>grisha tishkov</cp:lastModifiedBy>
  <cp:revision>3</cp:revision>
  <dcterms:created xsi:type="dcterms:W3CDTF">2026-10-14T19:28:00Z</dcterms:created>
  <dcterms:modified xsi:type="dcterms:W3CDTF">2026-10-17T18:10:00Z</dcterms:modified>
</cp:coreProperties>
</file>