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42D" w:rsidRPr="00E15F9B" w:rsidRDefault="0081242D" w:rsidP="0081242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5"/>
        <w:gridCol w:w="14167"/>
      </w:tblGrid>
      <w:tr w:rsidR="00E03A18" w:rsidTr="00601F4C">
        <w:tc>
          <w:tcPr>
            <w:tcW w:w="3395" w:type="dxa"/>
          </w:tcPr>
          <w:p w:rsidR="00E03A18" w:rsidRDefault="00E03A18" w:rsidP="00E03A18">
            <w:pPr>
              <w:pStyle w:val="Default"/>
            </w:pPr>
            <w:r w:rsidRPr="00B9435E">
              <w:t xml:space="preserve">порядок организации разработки АС; </w:t>
            </w:r>
          </w:p>
        </w:tc>
        <w:tc>
          <w:tcPr>
            <w:tcW w:w="14167" w:type="dxa"/>
          </w:tcPr>
          <w:p w:rsidR="00E03A18" w:rsidRDefault="00E03A18" w:rsidP="00601F4C">
            <w:pPr>
              <w:ind w:firstLine="0"/>
              <w:jc w:val="left"/>
            </w:pPr>
          </w:p>
        </w:tc>
      </w:tr>
      <w:tr w:rsidR="00E03A18" w:rsidTr="00601F4C">
        <w:tc>
          <w:tcPr>
            <w:tcW w:w="3395" w:type="dxa"/>
          </w:tcPr>
          <w:p w:rsidR="00E03A18" w:rsidRDefault="00E03A18" w:rsidP="00ED586C">
            <w:pPr>
              <w:ind w:firstLine="0"/>
            </w:pPr>
            <w:r w:rsidRPr="00B9435E">
              <w:t>перечень документов и ис</w:t>
            </w:r>
            <w:r>
              <w:t>ходных данных для разработки АС</w:t>
            </w:r>
          </w:p>
        </w:tc>
        <w:tc>
          <w:tcPr>
            <w:tcW w:w="14167" w:type="dxa"/>
          </w:tcPr>
          <w:p w:rsidR="00E03A18" w:rsidRPr="002877A0" w:rsidRDefault="00E03A18" w:rsidP="00E03A18">
            <w:pPr>
              <w:rPr>
                <w:sz w:val="20"/>
                <w:szCs w:val="20"/>
                <w:highlight w:val="cyan"/>
              </w:rPr>
            </w:pPr>
            <w:r w:rsidRPr="002877A0">
              <w:rPr>
                <w:sz w:val="20"/>
                <w:szCs w:val="20"/>
                <w:highlight w:val="cyan"/>
              </w:rPr>
              <w:t xml:space="preserve">Можно брать из тендерной документации, если она есть. Можно опустить или оставить только сам 34-й ГОСТ. Если используются какие-то нотации (UML. BPMN, </w:t>
            </w:r>
            <w:proofErr w:type="spellStart"/>
            <w:proofErr w:type="gramStart"/>
            <w:r w:rsidRPr="002877A0">
              <w:rPr>
                <w:sz w:val="20"/>
                <w:szCs w:val="20"/>
                <w:highlight w:val="cyan"/>
              </w:rPr>
              <w:t>Arch»mate</w:t>
            </w:r>
            <w:proofErr w:type="spellEnd"/>
            <w:proofErr w:type="gramEnd"/>
            <w:r w:rsidRPr="002877A0">
              <w:rPr>
                <w:sz w:val="20"/>
                <w:szCs w:val="20"/>
                <w:highlight w:val="cyan"/>
              </w:rPr>
              <w:t>) — их стоит сюда включить.</w:t>
            </w:r>
          </w:p>
          <w:p w:rsidR="00E03A18" w:rsidRPr="002877A0" w:rsidRDefault="00E03A18" w:rsidP="00E03A18">
            <w:pPr>
              <w:rPr>
                <w:sz w:val="20"/>
                <w:szCs w:val="20"/>
                <w:highlight w:val="cyan"/>
              </w:rPr>
            </w:pPr>
            <w:r w:rsidRPr="002877A0">
              <w:rPr>
                <w:sz w:val="20"/>
                <w:szCs w:val="20"/>
                <w:highlight w:val="cyan"/>
              </w:rPr>
              <w:t>Разработка системы «С каким-то названием» и соответствующей документации должна быть осуществлена с учетом требований следующих нормативных документов</w:t>
            </w:r>
          </w:p>
          <w:p w:rsidR="00E03A18" w:rsidRPr="002877A0" w:rsidRDefault="00E03A18" w:rsidP="00E03A18">
            <w:pPr>
              <w:rPr>
                <w:sz w:val="20"/>
                <w:szCs w:val="20"/>
                <w:highlight w:val="cyan"/>
              </w:rPr>
            </w:pPr>
            <w:r w:rsidRPr="002877A0">
              <w:rPr>
                <w:sz w:val="20"/>
                <w:szCs w:val="20"/>
                <w:highlight w:val="cyan"/>
              </w:rPr>
              <w:t>•</w:t>
            </w:r>
            <w:r w:rsidRPr="002877A0">
              <w:rPr>
                <w:sz w:val="20"/>
                <w:szCs w:val="20"/>
                <w:highlight w:val="cyan"/>
              </w:rPr>
              <w:tab/>
              <w:t>ГОСТ 34.201-89 «Виды, комплектность и обозначение документов при создании автоматизированных систем»;</w:t>
            </w:r>
          </w:p>
          <w:p w:rsidR="00E03A18" w:rsidRPr="002877A0" w:rsidRDefault="00E03A18" w:rsidP="00E03A18">
            <w:pPr>
              <w:rPr>
                <w:sz w:val="20"/>
                <w:szCs w:val="20"/>
                <w:highlight w:val="cyan"/>
              </w:rPr>
            </w:pPr>
            <w:r w:rsidRPr="002877A0">
              <w:rPr>
                <w:sz w:val="20"/>
                <w:szCs w:val="20"/>
                <w:highlight w:val="cyan"/>
              </w:rPr>
              <w:t>•</w:t>
            </w:r>
            <w:r w:rsidRPr="002877A0">
              <w:rPr>
                <w:sz w:val="20"/>
                <w:szCs w:val="20"/>
                <w:highlight w:val="cyan"/>
              </w:rPr>
              <w:tab/>
              <w:t>Иные нормативными материалами Министерства связи РФ, государственные и отраслевые стандарты РФ.</w:t>
            </w:r>
          </w:p>
          <w:p w:rsidR="00E03A18" w:rsidRPr="002877A0" w:rsidRDefault="00E03A18" w:rsidP="00E03A18">
            <w:pPr>
              <w:rPr>
                <w:sz w:val="20"/>
                <w:szCs w:val="20"/>
                <w:highlight w:val="cyan"/>
              </w:rPr>
            </w:pPr>
            <w:r w:rsidRPr="002877A0">
              <w:rPr>
                <w:sz w:val="20"/>
                <w:szCs w:val="20"/>
                <w:highlight w:val="cyan"/>
              </w:rPr>
              <w:t>•</w:t>
            </w:r>
            <w:r w:rsidRPr="002877A0">
              <w:rPr>
                <w:sz w:val="20"/>
                <w:szCs w:val="20"/>
                <w:highlight w:val="cyan"/>
              </w:rPr>
              <w:tab/>
              <w:t>исходные данные, предоставленные Заказчиком и Генеральным проектировщиком</w:t>
            </w:r>
          </w:p>
          <w:p w:rsidR="00E03A18" w:rsidRPr="002877A0" w:rsidRDefault="00E03A18" w:rsidP="00E03A18">
            <w:pPr>
              <w:rPr>
                <w:sz w:val="20"/>
                <w:szCs w:val="20"/>
                <w:highlight w:val="cyan"/>
              </w:rPr>
            </w:pPr>
            <w:r w:rsidRPr="002877A0">
              <w:rPr>
                <w:sz w:val="20"/>
                <w:szCs w:val="20"/>
                <w:highlight w:val="cyan"/>
              </w:rPr>
              <w:t>•</w:t>
            </w:r>
            <w:r w:rsidRPr="002877A0">
              <w:rPr>
                <w:sz w:val="20"/>
                <w:szCs w:val="20"/>
                <w:highlight w:val="cyan"/>
              </w:rPr>
              <w:tab/>
              <w:t>ГОСТ 19.201-78. Технические задание. Требования к содержанию и оформлению;</w:t>
            </w:r>
          </w:p>
          <w:p w:rsidR="00E03A18" w:rsidRPr="002877A0" w:rsidRDefault="00E03A18" w:rsidP="00E03A18">
            <w:pPr>
              <w:rPr>
                <w:sz w:val="20"/>
                <w:szCs w:val="20"/>
                <w:highlight w:val="cyan"/>
              </w:rPr>
            </w:pPr>
            <w:r w:rsidRPr="002877A0">
              <w:rPr>
                <w:sz w:val="20"/>
                <w:szCs w:val="20"/>
                <w:highlight w:val="cyan"/>
              </w:rPr>
              <w:t>•</w:t>
            </w:r>
            <w:r w:rsidRPr="002877A0">
              <w:rPr>
                <w:sz w:val="20"/>
                <w:szCs w:val="20"/>
                <w:highlight w:val="cyan"/>
              </w:rPr>
              <w:tab/>
              <w:t>ГОСТ 34.601-90. Комплекс стандартов на автоматизированные системы. Автоматизированные системы. Стадии создания;</w:t>
            </w:r>
          </w:p>
          <w:p w:rsidR="00E03A18" w:rsidRPr="002877A0" w:rsidRDefault="00E03A18" w:rsidP="00E03A18">
            <w:pPr>
              <w:rPr>
                <w:sz w:val="20"/>
                <w:szCs w:val="20"/>
                <w:highlight w:val="cyan"/>
              </w:rPr>
            </w:pPr>
            <w:r w:rsidRPr="002877A0">
              <w:rPr>
                <w:sz w:val="20"/>
                <w:szCs w:val="20"/>
                <w:highlight w:val="cyan"/>
              </w:rPr>
              <w:t>•</w:t>
            </w:r>
            <w:r w:rsidRPr="002877A0">
              <w:rPr>
                <w:sz w:val="20"/>
                <w:szCs w:val="20"/>
                <w:highlight w:val="cyan"/>
              </w:rPr>
              <w:tab/>
              <w:t>ГОСТ 34.201-89 Информационная технология Комплекс стандартов на автоматизированные системы. Виды, комплексность и обозначение документов при создании автоматизированных систем;</w:t>
            </w:r>
          </w:p>
          <w:p w:rsidR="00E03A18" w:rsidRDefault="00E03A18" w:rsidP="00E03A18">
            <w:r w:rsidRPr="002877A0">
              <w:rPr>
                <w:sz w:val="20"/>
                <w:szCs w:val="20"/>
                <w:highlight w:val="cyan"/>
              </w:rPr>
              <w:t>•</w:t>
            </w:r>
            <w:r w:rsidRPr="002877A0">
              <w:rPr>
                <w:sz w:val="20"/>
                <w:szCs w:val="20"/>
                <w:highlight w:val="cyan"/>
              </w:rPr>
              <w:tab/>
              <w:t>РД 50-34.698-90. Методические указания Информационная технология. Комплекс стандартов на автоматизированные системы Автоматизированные системы. Требования к содержанию документов.</w:t>
            </w:r>
          </w:p>
        </w:tc>
      </w:tr>
      <w:tr w:rsidR="00E03A18" w:rsidTr="00601F4C">
        <w:tc>
          <w:tcPr>
            <w:tcW w:w="3395" w:type="dxa"/>
          </w:tcPr>
          <w:p w:rsidR="00E03A18" w:rsidRDefault="00E03A18" w:rsidP="00E03A18">
            <w:pPr>
              <w:pStyle w:val="Default"/>
            </w:pPr>
            <w:r w:rsidRPr="00B9435E">
              <w:t xml:space="preserve">перечень документов, предъявляемых по окончании соответствующих этапов работ; </w:t>
            </w:r>
          </w:p>
        </w:tc>
        <w:tc>
          <w:tcPr>
            <w:tcW w:w="14167" w:type="dxa"/>
          </w:tcPr>
          <w:p w:rsidR="00E03A18" w:rsidRDefault="00E03A18" w:rsidP="00ED586C">
            <w:pPr>
              <w:ind w:firstLine="0"/>
            </w:pPr>
          </w:p>
        </w:tc>
      </w:tr>
      <w:tr w:rsidR="00E03A18" w:rsidTr="00601F4C">
        <w:tc>
          <w:tcPr>
            <w:tcW w:w="3395" w:type="dxa"/>
          </w:tcPr>
          <w:p w:rsidR="00E03A18" w:rsidRDefault="00E03A18" w:rsidP="00E03A18">
            <w:pPr>
              <w:pStyle w:val="Default"/>
            </w:pPr>
            <w:r w:rsidRPr="00B9435E">
              <w:t xml:space="preserve">порядок проведения экспертизы технической документации; </w:t>
            </w:r>
          </w:p>
        </w:tc>
        <w:tc>
          <w:tcPr>
            <w:tcW w:w="14167" w:type="dxa"/>
          </w:tcPr>
          <w:p w:rsidR="00FB1E17" w:rsidRDefault="00FB1E17" w:rsidP="00FB1E17">
            <w:pPr>
              <w:ind w:firstLine="0"/>
            </w:pPr>
            <w:r>
              <w:t>– проверка технической документации на комплектность;</w:t>
            </w:r>
          </w:p>
          <w:p w:rsidR="00FB1E17" w:rsidRDefault="00FB1E17" w:rsidP="00FB1E17">
            <w:pPr>
              <w:ind w:firstLine="0"/>
            </w:pPr>
            <w:r>
              <w:t>– проверка структуры разделов технической документации на соответствие требованиям стандартов, нормативных документов и актов;</w:t>
            </w:r>
          </w:p>
          <w:p w:rsidR="00FB1E17" w:rsidRDefault="00FB1E17" w:rsidP="00FB1E17">
            <w:pPr>
              <w:ind w:firstLine="0"/>
            </w:pPr>
            <w:r>
              <w:t>– проверка соответствия содержательной части технической документации требованиям нормативно-технической документации.</w:t>
            </w:r>
          </w:p>
          <w:p w:rsidR="00FB1E17" w:rsidRDefault="00FB1E17" w:rsidP="00FB1E17">
            <w:pPr>
              <w:ind w:firstLine="0"/>
            </w:pPr>
            <w:r>
              <w:t>Экспертизе подлежит следующая документация:</w:t>
            </w:r>
          </w:p>
          <w:p w:rsidR="00FB1E17" w:rsidRDefault="00FB1E17" w:rsidP="00FB1E17">
            <w:pPr>
              <w:ind w:firstLine="0"/>
            </w:pPr>
            <w:r>
              <w:t>1) техническое задание на создание СЗИ ИАП ACУ ______</w:t>
            </w:r>
            <w:proofErr w:type="gramStart"/>
            <w:r>
              <w:t>_ ;</w:t>
            </w:r>
            <w:proofErr w:type="gramEnd"/>
          </w:p>
          <w:p w:rsidR="00FB1E17" w:rsidRDefault="00FB1E17" w:rsidP="00FB1E17">
            <w:pPr>
              <w:ind w:firstLine="0"/>
            </w:pPr>
            <w:r>
              <w:t>2) пояснительная записка к техническому проекту;</w:t>
            </w:r>
          </w:p>
          <w:p w:rsidR="00FB1E17" w:rsidRDefault="00FB1E17" w:rsidP="00FB1E17">
            <w:pPr>
              <w:ind w:firstLine="0"/>
            </w:pPr>
            <w:r>
              <w:t>3) описание организационной структуры;</w:t>
            </w:r>
          </w:p>
          <w:p w:rsidR="00FB1E17" w:rsidRDefault="00FB1E17" w:rsidP="00FB1E17">
            <w:pPr>
              <w:ind w:firstLine="0"/>
            </w:pPr>
            <w:r>
              <w:t>4) документы, разрабатываемые на стадии Рабочая документация.</w:t>
            </w:r>
          </w:p>
          <w:p w:rsidR="00FB1E17" w:rsidRDefault="00FB1E17" w:rsidP="00FB1E17">
            <w:pPr>
              <w:ind w:firstLine="0"/>
            </w:pPr>
            <w:r>
              <w:t>Для проведения экспертизы технической документации на создание СЗИ ИАП АСУ _______ разработчик направляет на комиссию:</w:t>
            </w:r>
          </w:p>
          <w:p w:rsidR="00FB1E17" w:rsidRDefault="00FB1E17" w:rsidP="00FB1E17">
            <w:pPr>
              <w:ind w:firstLine="0"/>
            </w:pPr>
            <w:r>
              <w:t>1) техническую документацию (в бумажном виде).</w:t>
            </w:r>
          </w:p>
          <w:p w:rsidR="00FB1E17" w:rsidRDefault="00FB1E17" w:rsidP="00FB1E17">
            <w:pPr>
              <w:ind w:firstLine="0"/>
            </w:pPr>
            <w:r>
              <w:t>2) перечень предоставленных документов.</w:t>
            </w:r>
          </w:p>
          <w:p w:rsidR="00E03A18" w:rsidRDefault="00FB1E17" w:rsidP="00FB1E17">
            <w:pPr>
              <w:ind w:firstLine="0"/>
            </w:pPr>
            <w:r>
              <w:t>Экспертиза технической документации проводится в соответствии с задачами проведения экспертизы. По согласованию с Заказчиком экспертная комиссия может создаваться в организации – исполнителе работ.</w:t>
            </w:r>
            <w:bookmarkStart w:id="0" w:name="_GoBack"/>
            <w:bookmarkEnd w:id="0"/>
          </w:p>
        </w:tc>
      </w:tr>
      <w:tr w:rsidR="00E03A18" w:rsidTr="00601F4C">
        <w:tc>
          <w:tcPr>
            <w:tcW w:w="3395" w:type="dxa"/>
          </w:tcPr>
          <w:p w:rsidR="00E03A18" w:rsidRDefault="00E03A18" w:rsidP="00E03A18">
            <w:pPr>
              <w:pStyle w:val="Default"/>
              <w:jc w:val="both"/>
            </w:pPr>
            <w:r w:rsidRPr="00B9435E">
              <w:t xml:space="preserve">перечень макетов (при необходимости), порядок их разработки, изготовления, испытаний, необходимость разработки на них документации, программы и методик испытаний; </w:t>
            </w:r>
          </w:p>
        </w:tc>
        <w:tc>
          <w:tcPr>
            <w:tcW w:w="14167" w:type="dxa"/>
          </w:tcPr>
          <w:p w:rsidR="00E03A18" w:rsidRDefault="00E03A18" w:rsidP="00ED586C">
            <w:pPr>
              <w:ind w:firstLine="0"/>
            </w:pPr>
          </w:p>
        </w:tc>
      </w:tr>
      <w:tr w:rsidR="00E03A18" w:rsidTr="00601F4C">
        <w:tc>
          <w:tcPr>
            <w:tcW w:w="3395" w:type="dxa"/>
          </w:tcPr>
          <w:p w:rsidR="00E03A18" w:rsidRDefault="00E03A18" w:rsidP="00E03A18">
            <w:pPr>
              <w:pStyle w:val="Default"/>
              <w:jc w:val="both"/>
            </w:pPr>
            <w:r w:rsidRPr="00B9435E">
              <w:t xml:space="preserve">порядок разработки, согласования и утверждения плана совместных работ по разработке АС; </w:t>
            </w:r>
          </w:p>
        </w:tc>
        <w:tc>
          <w:tcPr>
            <w:tcW w:w="14167" w:type="dxa"/>
          </w:tcPr>
          <w:p w:rsidR="00E03A18" w:rsidRDefault="00E03A18" w:rsidP="00ED586C">
            <w:pPr>
              <w:ind w:firstLine="0"/>
            </w:pPr>
          </w:p>
        </w:tc>
      </w:tr>
      <w:tr w:rsidR="00E03A18" w:rsidTr="00601F4C">
        <w:tc>
          <w:tcPr>
            <w:tcW w:w="3395" w:type="dxa"/>
          </w:tcPr>
          <w:p w:rsidR="00E03A18" w:rsidRPr="00B9435E" w:rsidRDefault="00E03A18" w:rsidP="00E03A18">
            <w:pPr>
              <w:pStyle w:val="Default"/>
              <w:jc w:val="both"/>
            </w:pPr>
            <w:r w:rsidRPr="00B9435E">
              <w:t xml:space="preserve">порядок разработки, согласования и утверждения программы работ по стандартизации; </w:t>
            </w:r>
          </w:p>
        </w:tc>
        <w:tc>
          <w:tcPr>
            <w:tcW w:w="14167" w:type="dxa"/>
          </w:tcPr>
          <w:p w:rsidR="00E03A18" w:rsidRDefault="00E03A18" w:rsidP="00ED586C">
            <w:pPr>
              <w:ind w:firstLine="0"/>
            </w:pPr>
          </w:p>
        </w:tc>
      </w:tr>
      <w:tr w:rsidR="00E03A18" w:rsidTr="00601F4C">
        <w:tc>
          <w:tcPr>
            <w:tcW w:w="3395" w:type="dxa"/>
          </w:tcPr>
          <w:p w:rsidR="00E03A18" w:rsidRPr="00B9435E" w:rsidRDefault="00740045" w:rsidP="00E03A18">
            <w:pPr>
              <w:pStyle w:val="Default"/>
              <w:jc w:val="both"/>
            </w:pPr>
            <w:r w:rsidRPr="00B9435E">
              <w:t xml:space="preserve">требования к гарантийным обязательствам разработчика; </w:t>
            </w:r>
          </w:p>
        </w:tc>
        <w:tc>
          <w:tcPr>
            <w:tcW w:w="14167" w:type="dxa"/>
          </w:tcPr>
          <w:p w:rsidR="00E03A18" w:rsidRDefault="00E03A18" w:rsidP="00ED586C">
            <w:pPr>
              <w:ind w:firstLine="0"/>
            </w:pPr>
          </w:p>
        </w:tc>
      </w:tr>
      <w:tr w:rsidR="00E03A18" w:rsidTr="00601F4C">
        <w:tc>
          <w:tcPr>
            <w:tcW w:w="3395" w:type="dxa"/>
          </w:tcPr>
          <w:p w:rsidR="00E03A18" w:rsidRPr="00B9435E" w:rsidRDefault="00740045" w:rsidP="00740045">
            <w:pPr>
              <w:pStyle w:val="Default"/>
              <w:jc w:val="both"/>
            </w:pPr>
            <w:r w:rsidRPr="00B9435E">
              <w:t>порядок проведения технико-экономической оценки разработки АС;</w:t>
            </w:r>
          </w:p>
        </w:tc>
        <w:tc>
          <w:tcPr>
            <w:tcW w:w="14167" w:type="dxa"/>
          </w:tcPr>
          <w:p w:rsidR="00E03A18" w:rsidRDefault="00E03A18" w:rsidP="00ED586C">
            <w:pPr>
              <w:ind w:firstLine="0"/>
            </w:pPr>
          </w:p>
        </w:tc>
      </w:tr>
      <w:tr w:rsidR="00E03A18" w:rsidTr="00601F4C">
        <w:tc>
          <w:tcPr>
            <w:tcW w:w="3395" w:type="dxa"/>
          </w:tcPr>
          <w:p w:rsidR="00E03A18" w:rsidRPr="00B9435E" w:rsidRDefault="00740045" w:rsidP="00740045">
            <w:pPr>
              <w:ind w:firstLine="0"/>
            </w:pPr>
            <w:r w:rsidRPr="00B9435E">
              <w:lastRenderedPageBreak/>
              <w:t>порядок разработки, согласования и утверждения программы метрологического обеспечения, программы обеспечения надежности, программы эргономического обеспечения.</w:t>
            </w:r>
          </w:p>
        </w:tc>
        <w:tc>
          <w:tcPr>
            <w:tcW w:w="14167" w:type="dxa"/>
          </w:tcPr>
          <w:p w:rsidR="00E03A18" w:rsidRDefault="00E03A18" w:rsidP="00ED586C">
            <w:pPr>
              <w:ind w:firstLine="0"/>
            </w:pPr>
          </w:p>
        </w:tc>
      </w:tr>
    </w:tbl>
    <w:p w:rsidR="0081242D" w:rsidRDefault="0081242D" w:rsidP="0081242D">
      <w:pPr>
        <w:ind w:firstLine="0"/>
      </w:pPr>
    </w:p>
    <w:p w:rsidR="007D13AB" w:rsidRDefault="007D13AB" w:rsidP="0081242D">
      <w:pPr>
        <w:ind w:firstLine="0"/>
      </w:pPr>
    </w:p>
    <w:sectPr w:rsidR="007D13AB" w:rsidSect="00212E7F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4028B"/>
    <w:multiLevelType w:val="hybridMultilevel"/>
    <w:tmpl w:val="9746F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902C5"/>
    <w:multiLevelType w:val="hybridMultilevel"/>
    <w:tmpl w:val="DC1EFB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792D48"/>
    <w:multiLevelType w:val="hybridMultilevel"/>
    <w:tmpl w:val="A2AACB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5D2"/>
    <w:rsid w:val="003645D2"/>
    <w:rsid w:val="003B37FE"/>
    <w:rsid w:val="00601F4C"/>
    <w:rsid w:val="00740045"/>
    <w:rsid w:val="007D13AB"/>
    <w:rsid w:val="0081242D"/>
    <w:rsid w:val="008515F8"/>
    <w:rsid w:val="00A955CE"/>
    <w:rsid w:val="00B969F4"/>
    <w:rsid w:val="00D36625"/>
    <w:rsid w:val="00E03A18"/>
    <w:rsid w:val="00FB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566C7-1DB4-42D3-8276-CCFA1902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42D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2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55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Григорьев</dc:creator>
  <cp:keywords/>
  <dc:description/>
  <cp:lastModifiedBy>Виктор Григорьев</cp:lastModifiedBy>
  <cp:revision>9</cp:revision>
  <dcterms:created xsi:type="dcterms:W3CDTF">2022-12-18T17:04:00Z</dcterms:created>
  <dcterms:modified xsi:type="dcterms:W3CDTF">2022-12-20T16:12:00Z</dcterms:modified>
</cp:coreProperties>
</file>