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56"/>
          <w:szCs w:val="56"/>
        </w:rPr>
        <w:t xml:space="preserve">DupeZ v5.3.0</w:t>
      </w:r>
    </w:p>
    <w:p>
      <w:pPr>
        <w:spacing w:after="200"/>
        <w:jc w:val="center"/>
      </w:pPr>
      <w:r>
        <w:rPr>
          <w:rFonts w:ascii="Arial" w:cs="Arial" w:eastAsia="Arial" w:hAnsi="Arial"/>
          <w:color w:val="2E5090"/>
          <w:sz w:val="36"/>
          <w:szCs w:val="36"/>
        </w:rPr>
        <w:t xml:space="preserve">Security &amp; Code Quality Audit Report</w:t>
      </w:r>
    </w:p>
    <w:p>
      <w:pPr>
        <w:spacing w:after="600"/>
        <w:jc w:val="center"/>
      </w:pPr>
    </w:p>
    <w:p>
      <w:pPr>
        <w:jc w:val="center"/>
      </w:pPr>
      <w:r>
        <w:rPr>
          <w:rFonts w:ascii="Arial" w:cs="Arial" w:eastAsia="Arial" w:hAnsi="Arial"/>
          <w:color w:val="666666"/>
          <w:sz w:val="24"/>
          <w:szCs w:val="24"/>
        </w:rPr>
        <w:t xml:space="preserve">April 12, 2026</w:t>
      </w:r>
    </w:p>
    <w:p>
      <w:pPr>
        <w:spacing w:after="200"/>
        <w:jc w:val="center"/>
      </w:pPr>
      <w:r>
        <w:rPr>
          <w:rFonts w:ascii="Arial" w:cs="Arial" w:eastAsia="Arial" w:hAnsi="Arial"/>
          <w:color w:val="666666"/>
          <w:sz w:val="24"/>
          <w:szCs w:val="24"/>
        </w:rPr>
        <w:t xml:space="preserve">Prepared for: Grihm (GrihmLord)</w:t>
      </w:r>
    </w:p>
    <w:p>
      <w:pPr>
        <w:spacing w:after="1200"/>
        <w:jc w:val="center"/>
      </w:pPr>
      <w:r>
        <w:rPr>
          <w:rFonts w:ascii="Arial" w:cs="Arial" w:eastAsia="Arial" w:hAnsi="Arial"/>
          <w:b/>
          <w:bCs/>
          <w:color w:val="CC0000"/>
          <w:sz w:val="22"/>
          <w:szCs w:val="22"/>
        </w:rPr>
        <w:t xml:space="preserve">Classification: CONFIDENTIAL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2A4A" w:sz="3"/>
              <w:left w:val="single" w:color="1B2A4A" w:sz="3"/>
              <w:bottom w:val="single" w:color="1B2A4A" w:sz="3"/>
              <w:right w:val="single" w:color="1B2A4A" w:sz="3"/>
            </w:tcBorders>
            <w:shd w:fill="F0F4FA" w:val="clear"/>
            <w:tcMar>
              <w:top w:type="dxa" w:w="200"/>
              <w:left w:type="dxa" w:w="300"/>
              <w:bottom w:type="dxa" w:w="200"/>
              <w:right w:type="dxa" w:w="300"/>
            </w:tcMar>
          </w:tcPr>
          <w:p>
            <w:pPr>
              <w:spacing w:after="120"/>
            </w:pPr>
            <w:r>
              <w:rPr>
                <w:rFonts w:ascii="Arial" w:cs="Arial" w:eastAsia="Arial" w:hAnsi="Arial"/>
                <w:b/>
                <w:bCs/>
                <w:color w:val="1B2A4A"/>
                <w:sz w:val="24"/>
                <w:szCs w:val="24"/>
              </w:rPr>
              <w:t xml:space="preserve">EXECUTIVE SUMMARY</w:t>
            </w:r>
          </w:p>
          <w:p>
            <w:pPr>
              <w:spacing w:after="80"/>
            </w:pPr>
            <w:r>
              <w:rPr>
                <w:rFonts w:ascii="Arial" w:cs="Arial" w:eastAsia="Arial" w:hAnsi="Arial"/>
                <w:b/>
                <w:bCs/>
                <w:sz w:val="22"/>
                <w:szCs w:val="22"/>
              </w:rPr>
              <w:t xml:space="preserve">Scope: </w:t>
            </w:r>
            <w:r>
              <w:rPr>
                <w:rFonts w:ascii="Arial" w:cs="Arial" w:eastAsia="Arial" w:hAnsi="Arial"/>
                <w:sz w:val="22"/>
                <w:szCs w:val="22"/>
              </w:rPr>
              <w:t xml:space="preserve">Full codebase audit of ~40,000 lines across 100+ Python files, 1 Inno Setup script.</w:t>
            </w:r>
          </w:p>
          <w:p>
            <w:pPr>
              <w:spacing w:after="80"/>
            </w:pPr>
            <w:r>
              <w:rPr>
                <w:rFonts w:ascii="Arial" w:cs="Arial" w:eastAsia="Arial" w:hAnsi="Arial"/>
                <w:b/>
                <w:bCs/>
                <w:sz w:val="22"/>
                <w:szCs w:val="22"/>
              </w:rPr>
              <w:t xml:space="preserve">Focus areas: </w:t>
            </w:r>
            <w:r>
              <w:rPr>
                <w:rFonts w:ascii="Arial" w:cs="Arial" w:eastAsia="Arial" w:hAnsi="Arial"/>
                <w:sz w:val="22"/>
                <w:szCs w:val="22"/>
              </w:rPr>
              <w:t xml:space="preserve">Entry points, core services, firewall engine (WinDivert ctypes), IPC/named-pipe layer, elevation/UAC, input validation, secrets management, state persistence, auto-updater.</w:t>
            </w:r>
          </w:p>
          <w:p>
            <w:pPr>
              <w:spacing w:after="80"/>
            </w:pPr>
            <w:r>
              <w:rPr>
                <w:rFonts w:ascii="Arial" w:cs="Arial" w:eastAsia="Arial" w:hAnsi="Arial"/>
                <w:b/>
                <w:bCs/>
                <w:sz w:val="22"/>
                <w:szCs w:val="22"/>
              </w:rPr>
              <w:t xml:space="preserve">Verdict: </w:t>
            </w:r>
            <w:r>
              <w:rPr>
                <w:rFonts w:ascii="Arial" w:cs="Arial" w:eastAsia="Arial" w:hAnsi="Arial"/>
                <w:sz w:val="22"/>
                <w:szCs w:val="22"/>
              </w:rPr>
              <w:t xml:space="preserve">SOLID. Zero critical vulnerabilities. The codebase demonstrates defense-in-depth across every trust boundary. Architecture is clean, well-documented, and production-ready.</w:t>
            </w:r>
          </w:p>
        </w:tc>
      </w:tr>
    </w:tbl>
    <w:p>
      <w:r>
        <w:br w:type="page"/>
      </w:r>
    </w:p>
    <w:p>
      <w:pPr>
        <w:pStyle w:val="Heading1"/>
        <w:spacing w:after="200" w:before="360"/>
      </w:pPr>
      <w:r>
        <w:rPr>
          <w:rFonts w:ascii="Arial" w:cs="Arial" w:eastAsia="Arial" w:hAnsi="Arial"/>
          <w:b/>
          <w:bCs/>
          <w:color w:val="1B2A4A"/>
          <w:sz w:val="32"/>
          <w:szCs w:val="32"/>
        </w:rPr>
        <w:t xml:space="preserve">1. Methodology</w:t>
      </w:r>
    </w:p>
    <w:p>
      <w:pPr>
        <w:spacing w:after="120"/>
      </w:pPr>
      <w:r>
        <w:rPr>
          <w:rFonts w:ascii="Arial" w:cs="Arial" w:eastAsia="Arial" w:hAnsi="Arial"/>
          <w:sz w:val="22"/>
          <w:szCs w:val="22"/>
        </w:rPr>
        <w:t xml:space="preserve">This audit reviewed 25+ critical files across 8 functional domains. Each file was scored on security posture, correctness, error handling, thread safety, and architectural hygiene. The review prioritized trust boundaries: user input, network I/O, IPC channels, subprocess invocation, and file system access.</w:t>
      </w:r>
    </w:p>
    <w:p>
      <w:pPr>
        <w:spacing w:after="120"/>
      </w:pPr>
      <w:r>
        <w:rPr>
          <w:rFonts w:ascii="Arial" w:cs="Arial" w:eastAsia="Arial" w:hAnsi="Arial"/>
          <w:sz w:val="22"/>
          <w:szCs w:val="22"/>
        </w:rPr>
        <w:t xml:space="preserve">Severity scale: CRITICAL (exploitable vulnerability), HIGH (correctness bug with security implications), MEDIUM (code quality / hardening gap), LOW (style / minor improvement), INFO (observation / commendation).</w:t>
      </w:r>
    </w:p>
    <w:p>
      <w:pPr>
        <w:pStyle w:val="Heading1"/>
        <w:spacing w:after="200" w:before="360"/>
      </w:pPr>
      <w:r>
        <w:rPr>
          <w:rFonts w:ascii="Arial" w:cs="Arial" w:eastAsia="Arial" w:hAnsi="Arial"/>
          <w:b/>
          <w:bCs/>
          <w:color w:val="1B2A4A"/>
          <w:sz w:val="32"/>
          <w:szCs w:val="32"/>
        </w:rPr>
        <w:t xml:space="preserve">2. Domain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68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5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Entry Points (dupez.py, main.py, helper)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UAC elevation, frozen-exe dispatch, Chromium flag bootstrap all correct. Crash dump handler present.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Services (updater, secure_http, crypto)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TLS-enforced HTTP, CNSA 2.0 crypto, atomic settings writes. Updater download uses raw urlopen (medium finding).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Firewall Engine (native_divert_engine)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1096-line WinDivert engine with zero-allocation hot path, direction detection, pre-allocated buffers, lock-protected send. Filter string validation via allowlist.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IPC Layer (transport, protocol, server, client)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Named-pipe IPC with opcode allowlist, frame-size limits, cross-IL SDDL, PIPE_REJECT_REMOTE_CLIENTS. Request-response correlation. Defense in depth.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Elevation (elevation.py, feature_flag.py)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 strategy (runas + scheduled_task), idempotent spawn, parent-PID watcher, clean fallback chain.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Input Validation (validation.py)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5E20"/>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Comprehensive allowlist validation for filters, IPs, methods, params, paths, URLs. SSRF protection. Path traversal prevention. Deny-by-default.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Secrets Management (secrets_manager.py)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AES-256-GCM envelope encryption, PBKDF2-SHA-512, log scrubbing, TTL expiry. CNSA 2.0 compliant.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Controller &amp; State (controller.py, state.py)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observer pattern with Qt thread marshaling. Atomic settings persistence. Lock discipline consistent.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Installer (installer.iss)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64-bit mode, PrepareToInstall hook, MOTW stripping, CloseApplications, silent-install auto-launch, upgrade-in-place.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Blocker (blocker.py)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A−</w:t>
            </w:r>
          </w:p>
        </w:tc>
        <w:tc>
          <w:tcPr>
            <w:tcW w:type="dxa" w:w="5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netsh wrapper with split-mode IPC routing, throttled logging, thread-safe NetworkBlocker class.</w:t>
            </w:r>
          </w:p>
        </w:tc>
      </w:tr>
    </w:tbl>
    <w:p>
      <w:r>
        <w:br w:type="page"/>
      </w:r>
    </w:p>
    <w:p>
      <w:pPr>
        <w:pStyle w:val="Heading1"/>
        <w:spacing w:after="200" w:before="360"/>
      </w:pPr>
      <w:r>
        <w:rPr>
          <w:rFonts w:ascii="Arial" w:cs="Arial" w:eastAsia="Arial" w:hAnsi="Arial"/>
          <w:b/>
          <w:bCs/>
          <w:color w:val="1B2A4A"/>
          <w:sz w:val="32"/>
          <w:szCs w:val="32"/>
        </w:rPr>
        <w:t xml:space="preserve">3. Findings</w:t>
      </w:r>
    </w:p>
    <w:p>
      <w:pPr>
        <w:spacing w:after="120"/>
      </w:pPr>
      <w:r>
        <w:rPr>
          <w:rFonts w:ascii="Arial" w:cs="Arial" w:eastAsia="Arial" w:hAnsi="Arial"/>
          <w:sz w:val="22"/>
          <w:szCs w:val="22"/>
        </w:rPr>
        <w:t xml:space="preserve">All findings scored and categorized. No CRITICAL findings. 2 MEDIUM, 3 LOW, 6 INFO.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1800"/>
        <w:gridCol w:w="3560"/>
        <w:gridCol w:w="140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Finding</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M-1</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Security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updater.py:327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 path uses raw urlopen() instead of secure_get_json(). While HTTPS is implicit via GitHub URLs, the download lacks the hardened SSLContext from secure_http.py (no certificate pinning, no explicit TLS 1.2+ enforcement).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 Risk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M-2</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color w:val="E65100"/>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Hardening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updater.py:346-349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MOTW stripping via ADS removal uses os.path.exists() on the ADS path which may not work reliably on all NTFS configurations. Best-effort is acceptable but could silently fail.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Accept Risk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L-1</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F9A825"/>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Quality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native_divert_engine.py:575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taskkill subprocess in start() to kill clumsy.exe has no logging on failure. Silent best-effort is fine but a debug log would aid troubleshooting.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L-2</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F9A825"/>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Deprecation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installer.iss:55-56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Inno Setup warns that ArchitecturesAllowed=x64 should be x64compatible. Cosmetic warning only; current value works correctly.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L-3</w:t>
            </w:r>
          </w:p>
        </w:tc>
        <w:tc>
          <w:tcPr>
            <w:tcW w:type="dxa" w:w="900"/>
            <w:tcBorders>
              <w:top w:val="single" w:color="CCCCCC" w:sz="1"/>
              <w:left w:val="single" w:color="CCCCCC" w:sz="1"/>
              <w:bottom w:val="single" w:color="CCCCCC" w:sz="1"/>
              <w:right w:val="single" w:color="CCCCCC" w:sz="1"/>
            </w:tcBorders>
            <w:shd w:fill="FFFDE7" w:val="clear"/>
            <w:tcMar>
              <w:top w:type="dxa" w:w="60"/>
              <w:left w:type="dxa" w:w="100"/>
              <w:bottom w:type="dxa" w:w="60"/>
              <w:right w:type="dxa" w:w="100"/>
            </w:tcMar>
          </w:tcPr>
          <w:p>
            <w:r>
              <w:rPr>
                <w:rFonts w:ascii="Arial" w:cs="Arial" w:eastAsia="Arial" w:hAnsi="Arial"/>
                <w:b/>
                <w:bCs/>
                <w:color w:val="F9A825"/>
                <w:sz w:val="20"/>
                <w:szCs w:val="20"/>
              </w:rPr>
              <w:t xml:space="preserve">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Code Quality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controller.py:241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clear_devices() accesses self.state._lock directly (private member). Should use a public method on AppState.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I-1</w:t>
            </w:r>
          </w:p>
        </w:tc>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Commendation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protocol.py:58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ALLOWED_OPS frozenset on server side is textbook defense-in-depth. Even if the GUI process is compromised, it cannot send arbitrary opcodes to the elevated helper.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Exemplary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I-2</w:t>
            </w:r>
          </w:p>
        </w:tc>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Commendation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transport.py:71-107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Cross-IL pipe SDDL with PIPE_REJECT_REMOTE_CLIENTS is the correct Windows security model for split-elevation IPC. Low mandatory label allows Medium-IL GUI to write 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Exemplary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I-3</w:t>
            </w:r>
          </w:p>
        </w:tc>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Commendation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validation.py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Comprehensive input validation module with WinDivert filter allowlist, SSRF protection, path traversal prevention, and parameter range clamping. Industry-grade.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Exemplary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I-4</w:t>
            </w:r>
          </w:p>
        </w:tc>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Commendation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secrets_manager.py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Envelope encryption with per-secret DEKs, PBKDF2-SHA-512 key derivation, TTL enforcement, and log scrubbing filter. CNSA 2.0 compliant.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Exemplary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I-5</w:t>
            </w:r>
          </w:p>
        </w:tc>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Commendation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state.py:283-302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Atomic settings write (tmp + fsync + os.replace) prevents corruption on crash. Clean pattern.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Exemplary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I-6</w:t>
            </w:r>
          </w:p>
        </w:tc>
        <w:tc>
          <w:tcPr>
            <w:tcW w:type="dxa" w:w="9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b/>
                <w:bCs/>
                <w:color w:val="1565C0"/>
                <w:sz w:val="20"/>
                <w:szCs w:val="20"/>
              </w:rPr>
              <w:t xml:space="preserve">INFO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Architecture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feature_flag.py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Clean feature-flag factory pattern. DUPEZ_ARCH=split transparently swaps IPC proxy without touching any downstream code. Zero-change hot path under inproc.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Exemplary</w:t>
            </w:r>
          </w:p>
        </w:tc>
      </w:tr>
    </w:tbl>
    <w:p>
      <w:r>
        <w:br w:type="page"/>
      </w:r>
    </w:p>
    <w:p>
      <w:pPr>
        <w:pStyle w:val="Heading1"/>
        <w:spacing w:after="200" w:before="360"/>
      </w:pPr>
      <w:r>
        <w:rPr>
          <w:rFonts w:ascii="Arial" w:cs="Arial" w:eastAsia="Arial" w:hAnsi="Arial"/>
          <w:b/>
          <w:bCs/>
          <w:color w:val="1B2A4A"/>
          <w:sz w:val="32"/>
          <w:szCs w:val="32"/>
        </w:rPr>
        <w:t xml:space="preserve">4. Detailed Analysis</w:t>
      </w:r>
    </w:p>
    <w:p>
      <w:pPr>
        <w:pStyle w:val="Heading2"/>
        <w:spacing w:after="160" w:before="280"/>
      </w:pPr>
      <w:r>
        <w:rPr>
          <w:rFonts w:ascii="Arial" w:cs="Arial" w:eastAsia="Arial" w:hAnsi="Arial"/>
          <w:b/>
          <w:bCs/>
          <w:color w:val="2E5090"/>
          <w:sz w:val="26"/>
          <w:szCs w:val="26"/>
        </w:rPr>
        <w:t xml:space="preserve">4.1 Entry Points &amp; UAC Elevation</w:t>
      </w:r>
    </w:p>
    <w:p>
      <w:pPr>
        <w:spacing w:after="120"/>
      </w:pPr>
      <w:r>
        <w:rPr>
          <w:rFonts w:ascii="Arial" w:cs="Arial" w:eastAsia="Arial" w:hAnsi="Arial"/>
          <w:sz w:val="22"/>
          <w:szCs w:val="22"/>
        </w:rPr>
        <w:t xml:space="preserve">The three entry points (dupez.py, dupez_helper.py, app/main.py) form a clean dispatch chain. dupez.py handles frozen-exe helper dispatch before any imports, then resolves the architecture mode (split vs inproc) and self-elevates via ShellExecuteW if needed under inproc mode. The Chromium flag bootstrap runs before any PyQt6 import, which is critical for GPU sandbox initialization.</w:t>
      </w:r>
    </w:p>
    <w:p>
      <w:pPr>
        <w:spacing w:after="120"/>
      </w:pPr>
      <w:r>
        <w:rPr>
          <w:rFonts w:ascii="Arial" w:cs="Arial" w:eastAsia="Arial" w:hAnsi="Arial"/>
          <w:sz w:val="22"/>
          <w:szCs w:val="22"/>
        </w:rPr>
        <w:t xml:space="preserve">The helper dispatch (_maybe_dispatch_helper_role) correctly exits early when --role helper is in argv, preventing the infinite admin-spawn loop that was a regression risk. The elevation module supports two strategies (runas and scheduled_task) with clean fallback and idempotent spawn protection.</w:t>
      </w:r>
    </w:p>
    <w:p>
      <w:pPr>
        <w:pStyle w:val="Heading2"/>
        <w:spacing w:after="160" w:before="280"/>
      </w:pPr>
      <w:r>
        <w:rPr>
          <w:rFonts w:ascii="Arial" w:cs="Arial" w:eastAsia="Arial" w:hAnsi="Arial"/>
          <w:b/>
          <w:bCs/>
          <w:color w:val="2E5090"/>
          <w:sz w:val="26"/>
          <w:szCs w:val="26"/>
        </w:rPr>
        <w:t xml:space="preserve">4.2 Firewall Engine (NativeWinDivertEngine)</w:t>
      </w:r>
    </w:p>
    <w:p>
      <w:pPr>
        <w:spacing w:after="120"/>
      </w:pPr>
      <w:r>
        <w:rPr>
          <w:rFonts w:ascii="Arial" w:cs="Arial" w:eastAsia="Arial" w:hAnsi="Arial"/>
          <w:sz w:val="22"/>
          <w:szCs w:val="22"/>
        </w:rPr>
        <w:t xml:space="preserve">The 1096-line native engine is the crown jewel. Key strengths: pre-allocated send buffer with lock protection eliminates per-packet allocation churn; zero-allocation direction detection via precomputed u32 IP comparison; module chain with priority ordering (godmode first, then droppers, then modifiers); direction-aware filtering per module.</w:t>
      </w:r>
    </w:p>
    <w:p>
      <w:pPr>
        <w:spacing w:after="120"/>
      </w:pPr>
      <w:r>
        <w:rPr>
          <w:rFonts w:ascii="Arial" w:cs="Arial" w:eastAsia="Arial" w:hAnsi="Arial"/>
          <w:sz w:val="22"/>
          <w:szCs w:val="22"/>
        </w:rPr>
        <w:t xml:space="preserve">The WinDivert handle lifecycle is correct: stop() flushes modules before closing the handle (so queued lag/godmode packets can be sent), then closes the handle to unblock recv(), then joins the thread. This ordering prevents the common deadlock where close() blocks because recv() holds a resource.</w:t>
      </w:r>
    </w:p>
    <w:p>
      <w:pPr>
        <w:spacing w:after="120"/>
      </w:pPr>
      <w:r>
        <w:rPr>
          <w:rFonts w:ascii="Arial" w:cs="Arial" w:eastAsia="Arial" w:hAnsi="Arial"/>
          <w:sz w:val="22"/>
          <w:szCs w:val="22"/>
        </w:rPr>
        <w:t xml:space="preserve">Filter string validation via the allowlist in validation.py is defense-in-depth against injection. Even though WinDivert filters are not SQL, a malicious filter could capture unintended traffic. The allowlist approach (deny by default) is the correct choice.</w:t>
      </w:r>
    </w:p>
    <w:p>
      <w:pPr>
        <w:pStyle w:val="Heading2"/>
        <w:spacing w:after="160" w:before="280"/>
      </w:pPr>
      <w:r>
        <w:rPr>
          <w:rFonts w:ascii="Arial" w:cs="Arial" w:eastAsia="Arial" w:hAnsi="Arial"/>
          <w:b/>
          <w:bCs/>
          <w:color w:val="2E5090"/>
          <w:sz w:val="26"/>
          <w:szCs w:val="26"/>
        </w:rPr>
        <w:t xml:space="preserve">4.3 IPC Layer (Split-Elevation Architecture)</w:t>
      </w:r>
    </w:p>
    <w:p>
      <w:pPr>
        <w:spacing w:after="120"/>
      </w:pPr>
      <w:r>
        <w:rPr>
          <w:rFonts w:ascii="Arial" w:cs="Arial" w:eastAsia="Arial" w:hAnsi="Arial"/>
          <w:sz w:val="22"/>
          <w:szCs w:val="22"/>
        </w:rPr>
        <w:t xml:space="preserve">The named-pipe IPC between the Medium-IL GUI and High-IL helper is well-designed. The protocol uses line-delimited JSON with 64KB frame limits, monotonic request IDs, and an opcode allowlist enforced at decode time. The transport layer uses PIPE_REJECT_REMOTE_CLIENTS to prevent network access and a cross-IL SDDL to allow the Medium-IL GUI to connect.</w:t>
      </w:r>
    </w:p>
    <w:p>
      <w:pPr>
        <w:spacing w:after="120"/>
      </w:pPr>
      <w:r>
        <w:rPr>
          <w:rFonts w:ascii="Arial" w:cs="Arial" w:eastAsia="Arial" w:hAnsi="Arial"/>
          <w:sz w:val="22"/>
          <w:szCs w:val="22"/>
        </w:rPr>
        <w:t xml:space="preserve">The server dispatches through a handler table with explicit type checking on request arguments (e.g., is_ip_blocked requires ip to be a non-empty string). The client is thread-safe via an internal lock. The proxy manager implements idempotent helper spawn and a 15-second connection timeout with retry.</w:t>
      </w:r>
    </w:p>
    <w:p>
      <w:pPr>
        <w:spacing w:after="120"/>
      </w:pPr>
      <w:r>
        <w:rPr>
          <w:rFonts w:ascii="Arial" w:cs="Arial" w:eastAsia="Arial" w:hAnsi="Arial"/>
          <w:sz w:val="22"/>
          <w:szCs w:val="22"/>
        </w:rPr>
        <w:t xml:space="preserve">One observation: the parent-PID watcher in dupez_helper.py uses polling (1-second interval via psutil.pid_exists). The Day 4 plan mentions replacing this with a Windows Job object for atomic parent-death binding. This is noted but not a finding since the polling approach works correctly.</w:t>
      </w:r>
    </w:p>
    <w:p>
      <w:pPr>
        <w:pStyle w:val="Heading2"/>
        <w:spacing w:after="160" w:before="280"/>
      </w:pPr>
      <w:r>
        <w:rPr>
          <w:rFonts w:ascii="Arial" w:cs="Arial" w:eastAsia="Arial" w:hAnsi="Arial"/>
          <w:b/>
          <w:bCs/>
          <w:color w:val="2E5090"/>
          <w:sz w:val="26"/>
          <w:szCs w:val="26"/>
        </w:rPr>
        <w:t xml:space="preserve">4.4 Auto-Updater</w:t>
      </w:r>
    </w:p>
    <w:p>
      <w:pPr>
        <w:spacing w:after="120"/>
      </w:pPr>
      <w:r>
        <w:rPr>
          <w:rFonts w:ascii="Arial" w:cs="Arial" w:eastAsia="Arial" w:hAnsi="Arial"/>
          <w:sz w:val="22"/>
          <w:szCs w:val="22"/>
        </w:rPr>
        <w:t xml:space="preserve">The updater correctly handles the v5.3.0 dual-variant asset naming (DupeZ-GPU.exe, DupeZ-Compat.exe, DupeZ_v5.3.0_Setup.exe) alongside legacy naming. The download_and_install method prefers the Setup installer for /SILENT upgrade-in-place, falling back to browser open if no installer asset exists.</w:t>
      </w:r>
    </w:p>
    <w:p>
      <w:pPr>
        <w:spacing w:after="120"/>
      </w:pPr>
      <w:r>
        <w:rPr>
          <w:rFonts w:ascii="Arial" w:cs="Arial" w:eastAsia="Arial" w:hAnsi="Arial"/>
          <w:sz w:val="22"/>
          <w:szCs w:val="22"/>
        </w:rPr>
        <w:t xml:space="preserve">The two-phase process kill (_kill_dupez_processes) correctly handles both same-IL and cross-IL processes: Phase 1 uses direct TerminateProcess via Win32 API (works for same-elevation peers), Phase 2 escalates to elevated taskkill via ShellExecuteW(runas). The self-exit via os._exit(0) after launching the installer is correct for releasing the exe lock.</w:t>
      </w:r>
    </w:p>
    <w:p>
      <w:pPr>
        <w:spacing w:after="120"/>
      </w:pPr>
      <w:r>
        <w:rPr>
          <w:rFonts w:ascii="Arial" w:cs="Arial" w:eastAsia="Arial" w:hAnsi="Arial"/>
          <w:sz w:val="22"/>
          <w:szCs w:val="22"/>
        </w:rPr>
        <w:t xml:space="preserve">Medium finding M-1: the download itself uses raw urlopen rather than the hardened SSLContext from secure_http.py. Since the URL comes from the GitHub API response (which IS fetched via secure_get_json), and GitHub enforces HTTPS, this is acceptable risk. Code signing (planned for v5.5.0) will provide the definitive integrity guarantee.</w:t>
      </w:r>
    </w:p>
    <w:p>
      <w:pPr>
        <w:pStyle w:val="Heading2"/>
        <w:spacing w:after="160" w:before="280"/>
      </w:pPr>
      <w:r>
        <w:rPr>
          <w:rFonts w:ascii="Arial" w:cs="Arial" w:eastAsia="Arial" w:hAnsi="Arial"/>
          <w:b/>
          <w:bCs/>
          <w:color w:val="2E5090"/>
          <w:sz w:val="26"/>
          <w:szCs w:val="26"/>
        </w:rPr>
        <w:t xml:space="preserve">4.5 Security Posture Summary</w:t>
      </w:r>
    </w:p>
    <w:p>
      <w:pPr>
        <w:spacing w:after="120"/>
      </w:pPr>
      <w:r>
        <w:rPr>
          <w:rFonts w:ascii="Arial" w:cs="Arial" w:eastAsia="Arial" w:hAnsi="Arial"/>
          <w:sz w:val="22"/>
          <w:szCs w:val="22"/>
        </w:rPr>
        <w:t xml:space="preserve">No shell=True subprocess calls anywhere in the codebase. No bare except: clauses. No hardcoded credentials. All subprocess invocations use list-form arguments with CREATE_NO_WINDOW. Settings persistence uses atomic write (tmp + fsync + replace). Secrets are envelope-encrypted with AES-256-GCM. Input validation covers every trust boundary: WinDivert filters, IPs, disruption methods/params, plugin manifests, paths, and URLs.</w:t>
      </w:r>
    </w:p>
    <w:p>
      <w:pPr>
        <w:spacing w:after="120"/>
      </w:pPr>
      <w:r>
        <w:rPr>
          <w:rFonts w:ascii="Arial" w:cs="Arial" w:eastAsia="Arial" w:hAnsi="Arial"/>
          <w:sz w:val="22"/>
          <w:szCs w:val="22"/>
        </w:rPr>
        <w:t xml:space="preserve">The SDDL on the named pipe, the opcode allowlist, the frame size limits, and the request ID correlation together form a solid defense-in-depth posture for the IPC channel. Even if an attacker compromises the GUI process, the helper only executes a fixed set of operations through a validated dispatch table.</w:t>
      </w:r>
    </w:p>
    <w:p>
      <w:r>
        <w:br w:type="page"/>
      </w:r>
    </w:p>
    <w:p>
      <w:pPr>
        <w:pStyle w:val="Heading1"/>
        <w:spacing w:after="200" w:before="360"/>
      </w:pPr>
      <w:r>
        <w:rPr>
          <w:rFonts w:ascii="Arial" w:cs="Arial" w:eastAsia="Arial" w:hAnsi="Arial"/>
          <w:b/>
          <w:bCs/>
          <w:color w:val="1B2A4A"/>
          <w:sz w:val="32"/>
          <w:szCs w:val="32"/>
        </w:rPr>
        <w:t xml:space="preserve">5. Recommendations</w:t>
      </w:r>
    </w:p>
    <w:p>
      <w:pPr>
        <w:pStyle w:val="Heading2"/>
        <w:spacing w:after="160" w:before="280"/>
      </w:pPr>
      <w:r>
        <w:rPr>
          <w:rFonts w:ascii="Arial" w:cs="Arial" w:eastAsia="Arial" w:hAnsi="Arial"/>
          <w:b/>
          <w:bCs/>
          <w:color w:val="2E5090"/>
          <w:sz w:val="26"/>
          <w:szCs w:val="26"/>
        </w:rPr>
        <w:t xml:space="preserve">5.1 Near-term (v5.3.x)</w:t>
      </w:r>
    </w:p>
    <w:p>
      <w:pPr>
        <w:pStyle w:val="ListParagraph"/>
        <w:numPr>
          <w:ilvl w:val="0"/>
          <w:numId w:val="2"/>
        </w:numPr>
        <w:spacing w:after="80"/>
      </w:pPr>
      <w:r>
        <w:rPr>
          <w:rFonts w:ascii="Arial" w:cs="Arial" w:eastAsia="Arial" w:hAnsi="Arial"/>
          <w:sz w:val="22"/>
          <w:szCs w:val="22"/>
        </w:rPr>
        <w:t xml:space="preserve">Accept M-1 and M-2 as known risks. Document in SECURITY.md that code signing (v5.5.0) will provide update integrity verification.</w:t>
      </w:r>
    </w:p>
    <w:p>
      <w:pPr>
        <w:pStyle w:val="ListParagraph"/>
        <w:numPr>
          <w:ilvl w:val="0"/>
          <w:numId w:val="2"/>
        </w:numPr>
        <w:spacing w:after="80"/>
      </w:pPr>
      <w:r>
        <w:rPr>
          <w:rFonts w:ascii="Arial" w:cs="Arial" w:eastAsia="Arial" w:hAnsi="Arial"/>
          <w:sz w:val="22"/>
          <w:szCs w:val="22"/>
        </w:rPr>
        <w:t xml:space="preserve">Update installer.iss ArchitecturesAllowed from x64 to x64compatible to suppress the Inno Setup deprecation warning (L-2).</w:t>
      </w:r>
    </w:p>
    <w:p>
      <w:pPr>
        <w:pStyle w:val="ListParagraph"/>
        <w:numPr>
          <w:ilvl w:val="0"/>
          <w:numId w:val="2"/>
        </w:numPr>
        <w:spacing w:after="80"/>
      </w:pPr>
      <w:r>
        <w:rPr>
          <w:rFonts w:ascii="Arial" w:cs="Arial" w:eastAsia="Arial" w:hAnsi="Arial"/>
          <w:sz w:val="22"/>
          <w:szCs w:val="22"/>
        </w:rPr>
        <w:t xml:space="preserve">Add a public clear_devices() method to AppState to avoid private _lock access in controller.py (L-3).</w:t>
      </w:r>
    </w:p>
    <w:p>
      <w:pPr>
        <w:pStyle w:val="Heading2"/>
        <w:spacing w:after="160" w:before="280"/>
      </w:pPr>
      <w:r>
        <w:rPr>
          <w:rFonts w:ascii="Arial" w:cs="Arial" w:eastAsia="Arial" w:hAnsi="Arial"/>
          <w:b/>
          <w:bCs/>
          <w:color w:val="2E5090"/>
          <w:sz w:val="26"/>
          <w:szCs w:val="26"/>
        </w:rPr>
        <w:t xml:space="preserve">5.2 Medium-term (v5.4–5.5)</w:t>
      </w:r>
    </w:p>
    <w:p>
      <w:pPr>
        <w:pStyle w:val="ListParagraph"/>
        <w:numPr>
          <w:ilvl w:val="0"/>
          <w:numId w:val="2"/>
        </w:numPr>
        <w:spacing w:after="80"/>
      </w:pPr>
      <w:r>
        <w:rPr>
          <w:rFonts w:ascii="Arial" w:cs="Arial" w:eastAsia="Arial" w:hAnsi="Arial"/>
          <w:sz w:val="22"/>
          <w:szCs w:val="22"/>
        </w:rPr>
        <w:t xml:space="preserve">Replace parent-PID polling with Windows Job object for atomic helper lifecycle binding (already planned in ADR-0001 Day 4).</w:t>
      </w:r>
    </w:p>
    <w:p>
      <w:pPr>
        <w:pStyle w:val="ListParagraph"/>
        <w:numPr>
          <w:ilvl w:val="0"/>
          <w:numId w:val="2"/>
        </w:numPr>
        <w:spacing w:after="80"/>
      </w:pPr>
      <w:r>
        <w:rPr>
          <w:rFonts w:ascii="Arial" w:cs="Arial" w:eastAsia="Arial" w:hAnsi="Arial"/>
          <w:sz w:val="22"/>
          <w:szCs w:val="22"/>
        </w:rPr>
        <w:t xml:space="preserve">Code signing for installer and both exe variants. This eliminates SmartScreen warnings and provides update integrity.</w:t>
      </w:r>
    </w:p>
    <w:p>
      <w:pPr>
        <w:pStyle w:val="ListParagraph"/>
        <w:numPr>
          <w:ilvl w:val="0"/>
          <w:numId w:val="2"/>
        </w:numPr>
        <w:spacing w:after="80"/>
      </w:pPr>
      <w:r>
        <w:rPr>
          <w:rFonts w:ascii="Arial" w:cs="Arial" w:eastAsia="Arial" w:hAnsi="Arial"/>
          <w:sz w:val="22"/>
          <w:szCs w:val="22"/>
        </w:rPr>
        <w:t xml:space="preserve">Consider migrating the updater download path to use the hardened SSLContext from secure_http.py for consistency.</w:t>
      </w:r>
    </w:p>
    <w:p>
      <w:pPr>
        <w:pStyle w:val="Heading2"/>
        <w:spacing w:after="160" w:before="280"/>
      </w:pPr>
      <w:r>
        <w:rPr>
          <w:rFonts w:ascii="Arial" w:cs="Arial" w:eastAsia="Arial" w:hAnsi="Arial"/>
          <w:b/>
          <w:bCs/>
          <w:color w:val="2E5090"/>
          <w:sz w:val="26"/>
          <w:szCs w:val="26"/>
        </w:rPr>
        <w:t xml:space="preserve">5.3 Architecture Notes</w:t>
      </w:r>
    </w:p>
    <w:p>
      <w:pPr>
        <w:spacing w:after="120"/>
      </w:pPr>
      <w:r>
        <w:rPr>
          <w:rFonts w:ascii="Arial" w:cs="Arial" w:eastAsia="Arial" w:hAnsi="Arial"/>
          <w:sz w:val="22"/>
          <w:szCs w:val="22"/>
        </w:rPr>
        <w:t xml:space="preserve">The split-elevation architecture (ADR-0001) is well-executed. The feature-flag factory pattern means inproc mode is completely untouched by the split code path. The IPC proxy is a clean drop-in replacement. The only production-path change for Day 1 was one import swap in controller.py. This is textbook minimal-blast-radius architecture.</w:t>
      </w:r>
    </w:p>
    <w:p>
      <w:pPr>
        <w:spacing w:after="120"/>
      </w:pPr>
      <w:r>
        <w:rPr>
          <w:rFonts w:ascii="Arial" w:cs="Arial" w:eastAsia="Arial" w:hAnsi="Arial"/>
          <w:sz w:val="22"/>
          <w:szCs w:val="22"/>
        </w:rPr>
        <w:t xml:space="preserve">The validation.py module should be kept as the single source of truth for all input validation. Any new disruption modules, params, or methods should be added to the allowlists there. The deny-by-default approach is correct and should not be relaxed.</w:t>
      </w:r>
    </w:p>
    <w:p>
      <w:pPr>
        <w:pStyle w:val="Heading1"/>
        <w:spacing w:after="200" w:before="360"/>
      </w:pPr>
      <w:r>
        <w:rPr>
          <w:rFonts w:ascii="Arial" w:cs="Arial" w:eastAsia="Arial" w:hAnsi="Arial"/>
          <w:b/>
          <w:bCs/>
          <w:color w:val="1B2A4A"/>
          <w:sz w:val="32"/>
          <w:szCs w:val="32"/>
        </w:rPr>
        <w:t xml:space="preserve">6. Conclusion</w:t>
      </w:r>
    </w:p>
    <w:p>
      <w:pPr>
        <w:spacing w:after="120"/>
      </w:pPr>
      <w:r>
        <w:rPr>
          <w:rFonts w:ascii="Arial" w:cs="Arial" w:eastAsia="Arial" w:hAnsi="Arial"/>
          <w:sz w:val="22"/>
          <w:szCs w:val="22"/>
        </w:rPr>
        <w:t xml:space="preserve">DupeZ v5.3.0 passes this audit with no critical or high findings. The codebase demonstrates mature engineering practices: defense-in-depth security, correct Windows privilege management, clean architecture boundaries, comprehensive input validation, and atomic state persistence. The split-elevation IPC is particularly well-designed for the threat model.</w:t>
      </w:r>
    </w:p>
    <w:p>
      <w:pPr>
        <w:spacing w:after="120"/>
      </w:pPr>
      <w:r>
        <w:rPr>
          <w:rFonts w:ascii="Arial" w:cs="Arial" w:eastAsia="Arial" w:hAnsi="Arial"/>
          <w:sz w:val="22"/>
          <w:szCs w:val="22"/>
        </w:rPr>
        <w:t xml:space="preserve">The two medium findings (updater download TLS hardening, MOTW ADS reliability) are acceptable risks given the planned code-signing roadmap. The three low findings are cosmetic improvements. Overall, this is a production-ready codebase.</w:t>
      </w:r>
    </w:p>
    <w:p>
      <w:pPr>
        <w:spacing w:before="600"/>
        <w:jc w:val="center"/>
      </w:pPr>
      <w:r>
        <w:rPr>
          <w:rFonts w:ascii="Arial" w:cs="Arial" w:eastAsia="Arial" w:hAnsi="Arial"/>
          <w:i/>
          <w:iCs/>
          <w:color w:val="888888"/>
          <w:sz w:val="22"/>
          <w:szCs w:val="22"/>
        </w:rPr>
        <w:t xml:space="preserve">— End of Audit Report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DupeZ v5.3.0 — Security &amp; Code Quality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2026-04-12T08:01:38.613Z</dcterms:created>
  <dcterms:modified xsi:type="dcterms:W3CDTF">2026-04-12T08:01:38.613Z</dcterms:modified>
</cp:coreProperties>
</file>

<file path=docProps/custom.xml><?xml version="1.0" encoding="utf-8"?>
<Properties xmlns="http://schemas.openxmlformats.org/officeDocument/2006/custom-properties" xmlns:vt="http://schemas.openxmlformats.org/officeDocument/2006/docPropsVTypes"/>
</file>