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248" w:rsidRPr="008F2A20" w:rsidRDefault="008F2A20">
      <w:pPr>
        <w:spacing w:after="40"/>
        <w:rPr>
          <w:lang w:val="es-PE"/>
        </w:rPr>
      </w:pPr>
      <w:r w:rsidRPr="008F2A20">
        <w:rPr>
          <w:b/>
          <w:bCs/>
          <w:color w:val="C00000"/>
          <w:sz w:val="30"/>
          <w:szCs w:val="30"/>
          <w:lang w:val="es-PE"/>
        </w:rPr>
        <w:t xml:space="preserve">Análisis de asuntos — Seguimiento de </w:t>
      </w:r>
      <w:proofErr w:type="spellStart"/>
      <w:r w:rsidRPr="008F2A20">
        <w:rPr>
          <w:b/>
          <w:bCs/>
          <w:color w:val="C00000"/>
          <w:sz w:val="30"/>
          <w:szCs w:val="30"/>
          <w:lang w:val="es-PE"/>
        </w:rPr>
        <w:t>brokers</w:t>
      </w:r>
      <w:proofErr w:type="spellEnd"/>
    </w:p>
    <w:p w:rsidR="008F2A20" w:rsidRDefault="008F2A20">
      <w:pPr>
        <w:spacing w:after="120"/>
        <w:jc w:val="both"/>
        <w:rPr>
          <w:color w:val="808080"/>
          <w:sz w:val="17"/>
          <w:szCs w:val="17"/>
          <w:lang w:val="es-PE"/>
        </w:rPr>
      </w:pPr>
    </w:p>
    <w:p w:rsidR="00AA0248" w:rsidRPr="008F2A20" w:rsidRDefault="008F2A20">
      <w:pPr>
        <w:spacing w:after="120"/>
        <w:jc w:val="both"/>
        <w:rPr>
          <w:lang w:val="es-PE"/>
        </w:rPr>
      </w:pPr>
      <w:r w:rsidRPr="008F2A20">
        <w:rPr>
          <w:sz w:val="19"/>
          <w:szCs w:val="19"/>
          <w:lang w:val="es-PE"/>
        </w:rPr>
        <w:t xml:space="preserve">Se clasificó automáticamente el asunto de cada correo recibido de los cinco </w:t>
      </w:r>
      <w:proofErr w:type="spellStart"/>
      <w:r w:rsidRPr="008F2A20">
        <w:rPr>
          <w:sz w:val="19"/>
          <w:szCs w:val="19"/>
          <w:lang w:val="es-PE"/>
        </w:rPr>
        <w:t>brokers</w:t>
      </w:r>
      <w:proofErr w:type="spellEnd"/>
      <w:r w:rsidRPr="008F2A20">
        <w:rPr>
          <w:sz w:val="19"/>
          <w:szCs w:val="19"/>
          <w:lang w:val="es-PE"/>
        </w:rPr>
        <w:t xml:space="preserve">, usando una tabla de palabras clave </w:t>
      </w:r>
      <w:proofErr w:type="spellStart"/>
      <w:r w:rsidRPr="008F2A20">
        <w:rPr>
          <w:sz w:val="19"/>
          <w:szCs w:val="19"/>
          <w:lang w:val="es-PE"/>
        </w:rPr>
        <w:t>mantenible</w:t>
      </w:r>
      <w:proofErr w:type="spellEnd"/>
      <w:r w:rsidRPr="008F2A20">
        <w:rPr>
          <w:sz w:val="19"/>
          <w:szCs w:val="19"/>
          <w:lang w:val="es-PE"/>
        </w:rPr>
        <w:t xml:space="preserve"> desde el propio Excel. La clasificación cubre el 97,9 % de los casos y se aplica tanto al histórico como a los correos nuevos</w:t>
      </w:r>
      <w:r w:rsidRPr="008F2A20">
        <w:rPr>
          <w:sz w:val="19"/>
          <w:szCs w:val="19"/>
          <w:lang w:val="es-PE"/>
        </w:rPr>
        <w:t>.</w:t>
      </w:r>
    </w:p>
    <w:p w:rsidR="00AA0248" w:rsidRDefault="008F2A20">
      <w:pPr>
        <w:spacing w:before="260" w:after="110"/>
      </w:pPr>
      <w:proofErr w:type="spellStart"/>
      <w:r>
        <w:rPr>
          <w:b/>
          <w:bCs/>
          <w:color w:val="C00000"/>
          <w:sz w:val="21"/>
          <w:szCs w:val="21"/>
        </w:rPr>
        <w:t>Qué</w:t>
      </w:r>
      <w:proofErr w:type="spellEnd"/>
      <w:r>
        <w:rPr>
          <w:b/>
          <w:bCs/>
          <w:color w:val="C00000"/>
          <w:sz w:val="21"/>
          <w:szCs w:val="21"/>
        </w:rPr>
        <w:t xml:space="preserve"> </w:t>
      </w:r>
      <w:proofErr w:type="spellStart"/>
      <w:r>
        <w:rPr>
          <w:b/>
          <w:bCs/>
          <w:color w:val="C00000"/>
          <w:sz w:val="21"/>
          <w:szCs w:val="21"/>
        </w:rPr>
        <w:t>nos</w:t>
      </w:r>
      <w:proofErr w:type="spellEnd"/>
      <w:r>
        <w:rPr>
          <w:b/>
          <w:bCs/>
          <w:color w:val="C00000"/>
          <w:sz w:val="21"/>
          <w:szCs w:val="21"/>
        </w:rPr>
        <w:t xml:space="preserve"> </w:t>
      </w:r>
      <w:proofErr w:type="spellStart"/>
      <w:r>
        <w:rPr>
          <w:b/>
          <w:bCs/>
          <w:color w:val="C00000"/>
          <w:sz w:val="21"/>
          <w:szCs w:val="21"/>
        </w:rPr>
        <w:t>piden</w:t>
      </w:r>
      <w:proofErr w:type="spellEnd"/>
      <w:r>
        <w:rPr>
          <w:b/>
          <w:bCs/>
          <w:color w:val="C00000"/>
          <w:sz w:val="21"/>
          <w:szCs w:val="21"/>
        </w:rPr>
        <w:t xml:space="preserve"> </w:t>
      </w:r>
      <w:proofErr w:type="spellStart"/>
      <w:r>
        <w:rPr>
          <w:b/>
          <w:bCs/>
          <w:color w:val="C00000"/>
          <w:sz w:val="21"/>
          <w:szCs w:val="21"/>
        </w:rPr>
        <w:t>los</w:t>
      </w:r>
      <w:proofErr w:type="spellEnd"/>
      <w:r>
        <w:rPr>
          <w:b/>
          <w:bCs/>
          <w:color w:val="C00000"/>
          <w:sz w:val="21"/>
          <w:szCs w:val="21"/>
        </w:rPr>
        <w:t xml:space="preserve"> brokers</w:t>
      </w:r>
    </w:p>
    <w:tbl>
      <w:tblPr>
        <w:tblW w:w="9026" w:type="dxa"/>
        <w:tblBorders>
          <w:top w:val="single" w:sz="2" w:space="0" w:color="BFBFBF"/>
          <w:bottom w:val="single" w:sz="2" w:space="0" w:color="BFBFBF"/>
          <w:insideH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AA02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6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0248" w:rsidRDefault="008F2A2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gestión</w:t>
            </w:r>
            <w:proofErr w:type="spellEnd"/>
          </w:p>
        </w:tc>
        <w:tc>
          <w:tcPr>
            <w:tcW w:w="20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0248" w:rsidRDefault="008F2A2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  <w:proofErr w:type="spellEnd"/>
          </w:p>
        </w:tc>
        <w:tc>
          <w:tcPr>
            <w:tcW w:w="20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Accidente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atención</w:t>
            </w:r>
            <w:proofErr w:type="spellEnd"/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119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22.4%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Consulta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solicitud</w:t>
            </w:r>
            <w:proofErr w:type="spellEnd"/>
            <w:r>
              <w:rPr>
                <w:sz w:val="17"/>
                <w:szCs w:val="17"/>
              </w:rPr>
              <w:t xml:space="preserve"> general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83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15.6%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r>
              <w:rPr>
                <w:sz w:val="17"/>
                <w:szCs w:val="17"/>
              </w:rPr>
              <w:t xml:space="preserve">Carta de </w:t>
            </w:r>
            <w:proofErr w:type="spellStart"/>
            <w:r>
              <w:rPr>
                <w:sz w:val="17"/>
                <w:szCs w:val="17"/>
              </w:rPr>
              <w:t>garantía</w:t>
            </w:r>
            <w:proofErr w:type="spellEnd"/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10.7%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Imágenes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exámenes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6.6%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Evaluación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revisión</w:t>
            </w:r>
            <w:proofErr w:type="spellEnd"/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6.4%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Terapias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rehabilitación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5.8%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Prótesis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órtesis</w:t>
            </w:r>
            <w:proofErr w:type="spellEnd"/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5.5%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Activación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5.5%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Rechazo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cobertura</w:t>
            </w:r>
            <w:proofErr w:type="spellEnd"/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5.1%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Medicamentos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4.5%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Otros</w:t>
            </w:r>
            <w:proofErr w:type="spellEnd"/>
            <w:r>
              <w:rPr>
                <w:sz w:val="17"/>
                <w:szCs w:val="17"/>
              </w:rPr>
              <w:t xml:space="preserve"> (6 </w:t>
            </w:r>
            <w:proofErr w:type="spellStart"/>
            <w:r>
              <w:rPr>
                <w:sz w:val="17"/>
                <w:szCs w:val="17"/>
              </w:rPr>
              <w:t>tipos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63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11.9%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50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531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100%</w:t>
            </w:r>
          </w:p>
        </w:tc>
      </w:tr>
    </w:tbl>
    <w:p w:rsidR="00AA0248" w:rsidRPr="008F2A20" w:rsidRDefault="008F2A20">
      <w:pPr>
        <w:spacing w:before="140" w:after="120"/>
        <w:jc w:val="both"/>
        <w:rPr>
          <w:lang w:val="es-PE"/>
        </w:rPr>
      </w:pPr>
      <w:r w:rsidRPr="008F2A20">
        <w:rPr>
          <w:i/>
          <w:iCs/>
          <w:sz w:val="17"/>
          <w:szCs w:val="17"/>
          <w:lang w:val="es-PE"/>
        </w:rPr>
        <w:t>Tres tipos concentran la mitad de la carga: accidentes y atenciones, consultas generales y cartas de garantía.</w:t>
      </w:r>
    </w:p>
    <w:p w:rsidR="00AA0248" w:rsidRPr="008F2A20" w:rsidRDefault="008F2A20">
      <w:pPr>
        <w:spacing w:before="260" w:after="110"/>
        <w:rPr>
          <w:lang w:val="es-PE"/>
        </w:rPr>
      </w:pPr>
      <w:r w:rsidRPr="008F2A20">
        <w:rPr>
          <w:b/>
          <w:bCs/>
          <w:color w:val="C00000"/>
          <w:sz w:val="21"/>
          <w:szCs w:val="21"/>
          <w:lang w:val="es-PE"/>
        </w:rPr>
        <w:t>Dónde se incumple el plazo</w:t>
      </w:r>
    </w:p>
    <w:p w:rsidR="00AA0248" w:rsidRPr="008F2A20" w:rsidRDefault="008F2A20">
      <w:pPr>
        <w:spacing w:after="120"/>
        <w:jc w:val="both"/>
        <w:rPr>
          <w:lang w:val="es-PE"/>
        </w:rPr>
      </w:pPr>
      <w:r w:rsidRPr="008F2A20">
        <w:rPr>
          <w:sz w:val="19"/>
          <w:szCs w:val="19"/>
          <w:lang w:val="es-PE"/>
        </w:rPr>
        <w:t>El plazo de respuesta comprometido es de 24 horas. Al cruzar el tipo de gestión con el tiempo real de cierre aparece el hallazgo principal:</w:t>
      </w:r>
    </w:p>
    <w:tbl>
      <w:tblPr>
        <w:tblW w:w="9026" w:type="dxa"/>
        <w:tblBorders>
          <w:top w:val="single" w:sz="2" w:space="0" w:color="BFBFBF"/>
          <w:bottom w:val="single" w:sz="2" w:space="0" w:color="BFBFBF"/>
          <w:insideH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6"/>
        <w:gridCol w:w="1800"/>
        <w:gridCol w:w="1800"/>
        <w:gridCol w:w="1800"/>
      </w:tblGrid>
      <w:tr w:rsidR="00AA02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26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0248" w:rsidRDefault="008F2A2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gestión</w:t>
            </w:r>
            <w:proofErr w:type="spellEnd"/>
          </w:p>
        </w:tc>
        <w:tc>
          <w:tcPr>
            <w:tcW w:w="18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0248" w:rsidRDefault="008F2A2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Casos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cerrados</w:t>
            </w:r>
            <w:proofErr w:type="spellEnd"/>
          </w:p>
        </w:tc>
        <w:tc>
          <w:tcPr>
            <w:tcW w:w="18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 prom.</w:t>
            </w:r>
          </w:p>
        </w:tc>
        <w:tc>
          <w:tcPr>
            <w:tcW w:w="1800" w:type="dxa"/>
            <w:shd w:val="clear" w:color="auto" w:fill="C0000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0248" w:rsidRDefault="008F2A2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Dentro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de 24 h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3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Cambio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proveedor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clínica</w:t>
            </w:r>
            <w:proofErr w:type="spellEnd"/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43.6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71%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36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Prótesis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órtesis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33.0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50%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3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Evaluación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revisión</w:t>
            </w:r>
            <w:proofErr w:type="spellEnd"/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27.3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67%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36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Continuidad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atención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24.6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64%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36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Imágenes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exámenes</w:t>
            </w:r>
            <w:proofErr w:type="spellEnd"/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21.2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74%</w:t>
            </w:r>
          </w:p>
        </w:tc>
      </w:tr>
      <w:tr w:rsidR="00AA0248">
        <w:tblPrEx>
          <w:tblCellMar>
            <w:top w:w="0" w:type="dxa"/>
            <w:bottom w:w="0" w:type="dxa"/>
          </w:tblCellMar>
        </w:tblPrEx>
        <w:tc>
          <w:tcPr>
            <w:tcW w:w="3626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roofErr w:type="spellStart"/>
            <w:r>
              <w:rPr>
                <w:sz w:val="17"/>
                <w:szCs w:val="17"/>
              </w:rPr>
              <w:t>Accidente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atención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108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16.6</w:t>
            </w:r>
          </w:p>
        </w:tc>
        <w:tc>
          <w:tcPr>
            <w:tcW w:w="18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A0248" w:rsidRDefault="008F2A20">
            <w:pPr>
              <w:jc w:val="center"/>
            </w:pPr>
            <w:r>
              <w:rPr>
                <w:sz w:val="17"/>
                <w:szCs w:val="17"/>
              </w:rPr>
              <w:t>81%</w:t>
            </w:r>
          </w:p>
        </w:tc>
      </w:tr>
    </w:tbl>
    <w:p w:rsidR="00AA0248" w:rsidRDefault="008F2A20">
      <w:pPr>
        <w:spacing w:before="260" w:after="110"/>
      </w:pPr>
      <w:proofErr w:type="spellStart"/>
      <w:r>
        <w:rPr>
          <w:b/>
          <w:bCs/>
          <w:color w:val="C00000"/>
          <w:sz w:val="21"/>
          <w:szCs w:val="21"/>
        </w:rPr>
        <w:t>Conclusión</w:t>
      </w:r>
      <w:proofErr w:type="spellEnd"/>
    </w:p>
    <w:p w:rsidR="00AA0248" w:rsidRPr="008F2A20" w:rsidRDefault="008F2A20">
      <w:pPr>
        <w:spacing w:after="120"/>
        <w:jc w:val="both"/>
        <w:rPr>
          <w:lang w:val="es-PE"/>
        </w:rPr>
      </w:pPr>
      <w:r w:rsidRPr="008F2A20">
        <w:rPr>
          <w:sz w:val="19"/>
          <w:szCs w:val="19"/>
          <w:lang w:val="es-PE"/>
        </w:rPr>
        <w:t xml:space="preserve">El tipo de gestión con más volumen —accidente / atención, 119 casos— es el que mejor se responde: 81 % dentro de plazo. Los incumplimientos se concentran en gestiones de bajo volumen: prótesis y </w:t>
      </w:r>
      <w:proofErr w:type="spellStart"/>
      <w:r w:rsidRPr="008F2A20">
        <w:rPr>
          <w:sz w:val="19"/>
          <w:szCs w:val="19"/>
          <w:lang w:val="es-PE"/>
        </w:rPr>
        <w:t>órtesis</w:t>
      </w:r>
      <w:proofErr w:type="spellEnd"/>
      <w:r w:rsidRPr="008F2A20">
        <w:rPr>
          <w:sz w:val="19"/>
          <w:szCs w:val="19"/>
          <w:lang w:val="es-PE"/>
        </w:rPr>
        <w:t xml:space="preserve"> cumple solo en la mitad de los casos, y los cambios d</w:t>
      </w:r>
      <w:r w:rsidRPr="008F2A20">
        <w:rPr>
          <w:sz w:val="19"/>
          <w:szCs w:val="19"/>
          <w:lang w:val="es-PE"/>
        </w:rPr>
        <w:t>e proveedor o clínica promedian 43,6 horas.</w:t>
      </w:r>
    </w:p>
    <w:p w:rsidR="00AA0248" w:rsidRPr="008F2A20" w:rsidRDefault="008F2A20">
      <w:pPr>
        <w:spacing w:after="120"/>
        <w:jc w:val="both"/>
        <w:rPr>
          <w:lang w:val="es-PE"/>
        </w:rPr>
      </w:pPr>
      <w:r w:rsidRPr="008F2A20">
        <w:rPr>
          <w:sz w:val="19"/>
          <w:szCs w:val="19"/>
          <w:lang w:val="es-PE"/>
        </w:rPr>
        <w:t>El cuello de botella no es la carga de trabajo, sino dos procesos concretos. Actuar sobre ellos afecta a unos 40 casos al año, pero es donde está todo el incumplimiento.</w:t>
      </w:r>
    </w:p>
    <w:p w:rsidR="00AA0248" w:rsidRPr="008F2A20" w:rsidRDefault="00AA0248">
      <w:pPr>
        <w:spacing w:before="320"/>
        <w:rPr>
          <w:lang w:val="es-PE"/>
        </w:rPr>
      </w:pPr>
      <w:bookmarkStart w:id="0" w:name="_GoBack"/>
      <w:bookmarkEnd w:id="0"/>
    </w:p>
    <w:sectPr w:rsidR="00AA0248" w:rsidRPr="008F2A20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A11EC6"/>
    <w:multiLevelType w:val="hybridMultilevel"/>
    <w:tmpl w:val="ABB0EE36"/>
    <w:lvl w:ilvl="0" w:tplc="45589C84">
      <w:start w:val="1"/>
      <w:numFmt w:val="bullet"/>
      <w:lvlText w:val="●"/>
      <w:lvlJc w:val="left"/>
      <w:pPr>
        <w:ind w:left="720" w:hanging="360"/>
      </w:pPr>
    </w:lvl>
    <w:lvl w:ilvl="1" w:tplc="E7EABA54">
      <w:start w:val="1"/>
      <w:numFmt w:val="bullet"/>
      <w:lvlText w:val="○"/>
      <w:lvlJc w:val="left"/>
      <w:pPr>
        <w:ind w:left="1440" w:hanging="360"/>
      </w:pPr>
    </w:lvl>
    <w:lvl w:ilvl="2" w:tplc="AAC27980">
      <w:start w:val="1"/>
      <w:numFmt w:val="bullet"/>
      <w:lvlText w:val="■"/>
      <w:lvlJc w:val="left"/>
      <w:pPr>
        <w:ind w:left="2160" w:hanging="360"/>
      </w:pPr>
    </w:lvl>
    <w:lvl w:ilvl="3" w:tplc="AB78ADE0">
      <w:start w:val="1"/>
      <w:numFmt w:val="bullet"/>
      <w:lvlText w:val="●"/>
      <w:lvlJc w:val="left"/>
      <w:pPr>
        <w:ind w:left="2880" w:hanging="360"/>
      </w:pPr>
    </w:lvl>
    <w:lvl w:ilvl="4" w:tplc="F1ECA3FA">
      <w:start w:val="1"/>
      <w:numFmt w:val="bullet"/>
      <w:lvlText w:val="○"/>
      <w:lvlJc w:val="left"/>
      <w:pPr>
        <w:ind w:left="3600" w:hanging="360"/>
      </w:pPr>
    </w:lvl>
    <w:lvl w:ilvl="5" w:tplc="3D08C5E6">
      <w:start w:val="1"/>
      <w:numFmt w:val="bullet"/>
      <w:lvlText w:val="■"/>
      <w:lvlJc w:val="left"/>
      <w:pPr>
        <w:ind w:left="4320" w:hanging="360"/>
      </w:pPr>
    </w:lvl>
    <w:lvl w:ilvl="6" w:tplc="9E0011A4">
      <w:start w:val="1"/>
      <w:numFmt w:val="bullet"/>
      <w:lvlText w:val="●"/>
      <w:lvlJc w:val="left"/>
      <w:pPr>
        <w:ind w:left="5040" w:hanging="360"/>
      </w:pPr>
    </w:lvl>
    <w:lvl w:ilvl="7" w:tplc="03DEBF22">
      <w:start w:val="1"/>
      <w:numFmt w:val="bullet"/>
      <w:lvlText w:val="●"/>
      <w:lvlJc w:val="left"/>
      <w:pPr>
        <w:ind w:left="5760" w:hanging="360"/>
      </w:pPr>
    </w:lvl>
    <w:lvl w:ilvl="8" w:tplc="06BE2A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248"/>
    <w:rsid w:val="008F2A20"/>
    <w:rsid w:val="00AA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C3C4B42-30E6-4A08-AF05-A15788AC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1465</Characters>
  <Application>Microsoft Office Word</Application>
  <DocSecurity>0</DocSecurity>
  <Lines>12</Lines>
  <Paragraphs>3</Paragraphs>
  <ScaleCrop>false</ScaleCrop>
  <Company>Microsoft</Company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2026-10-13T16:38:00Z</dcterms:created>
  <dcterms:modified xsi:type="dcterms:W3CDTF">2026-10-13T16:45:00Z</dcterms:modified>
</cp:coreProperties>
</file>