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f5be5"/>
        </w:rPr>
      </w:pPr>
      <w:r w:rsidDel="00000000" w:rsidR="00000000" w:rsidRPr="00000000">
        <w:rPr>
          <w:b w:val="1"/>
          <w:color w:val="0f5be5"/>
          <w:rtl w:val="0"/>
        </w:rPr>
        <w:t xml:space="preserve">Plan de test End-to-End du parcours employée RH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f5b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f5b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f5be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f5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Scénario 1</w:t>
            </w:r>
          </w:p>
        </w:tc>
      </w:tr>
      <w:tr>
        <w:trPr>
          <w:cantSplit w:val="0"/>
          <w:tblHeader w:val="0"/>
        </w:trPr>
        <w:tc>
          <w:tcPr>
            <w:shd w:fill="0f5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 suis un visiteur (non connecté).</w:t>
            </w:r>
          </w:p>
        </w:tc>
      </w:tr>
      <w:tr>
        <w:trPr>
          <w:cantSplit w:val="0"/>
          <w:tblHeader w:val="0"/>
        </w:trPr>
        <w:tc>
          <w:tcPr>
            <w:shd w:fill="0f5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5be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f5b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f5be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color w:val="0f5b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f5be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f5be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