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Технологии искусственного интеллекта развиваются стремительными темпами. Машинное обучение и нейронные сети открывают новые возможности в различных областях. Компании внедряют AI для автоматизации процессов и повышения эффективности. Однако важно учитывать этические аспекты использования искусственного интеллекта. Глубокое обучение позволяет создавать системы, которые могут распознавать сложные паттерны в данных. Обработка естественного языка стала ключевым направлением развития AI технологий. Роботы становятся все более интеллектуальными и способными выполнять сложные задачи. В медицине искусственный интеллект помогает диагностировать заболевания с высокой точностью. Автономные транспортные средства используют AI для навигации и принятия решений. Кибербезопасность также выигрывает от применения машинного обучения для обнаружения угроз. Важно развивать ответственный подход к созданию и использованию AI систем.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