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Климатические изменения представляют собой одну из самых серьезных проблем современности. Повышение температуры на планете приводит к таянию ледников и повышению уровня моря. Парниковые газы, такие как углекислый газ и метан, способствуют глобальному потеплению. Возобновляемые источники энергии, такие как солнечная и ветровая, помогают снизить выбросы. Энергоэффективность зданий и транспорта играет важную роль в борьбе с изменением климата. Переработка отходов и сокращение потребления ресурсов необходимы для устойчивого развития. Лесные массивы поглощают углекислый газ и являются важным элементом экосистемы. Международное сотрудничество необходимо для решения глобальных экологических проблем. Образование и осведомленность населения о проблемах экологии имеют большое значение. Каждый человек может внести свой вклад в защиту окружающей среды через свои повседневные действия.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