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color w:val="auto"/>
          <w:sz w:val="20"/>
          <w:szCs w:val="20"/>
        </w:rPr>
        <w:id w:val="1177750438"/>
        <w:docPartObj>
          <w:docPartGallery w:val="Table of Contents"/>
          <w:docPartUnique/>
        </w:docPartObj>
      </w:sdtPr>
      <w:sdtEndPr>
        <w:rPr>
          <w:b w:val="0"/>
          <w:bCs w:val="0"/>
          <w:sz w:val="24"/>
        </w:rPr>
      </w:sdtEndPr>
      <w:sdtContent>
        <w:bookmarkStart w:id="0" w:name="_Toc16279490" w:displacedByCustomXml="prev"/>
        <w:p w:rsidR="00B546B3" w:rsidRDefault="00B546B3" w:rsidP="0002120F">
          <w:pPr>
            <w:pStyle w:val="Nagwek1"/>
          </w:pPr>
          <w:r>
            <w:t>Zawartość</w:t>
          </w:r>
          <w:bookmarkEnd w:id="0"/>
        </w:p>
        <w:p w:rsidR="001628EB" w:rsidRDefault="000C5A22">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6279490" w:history="1">
            <w:r w:rsidR="001628EB" w:rsidRPr="00B15428">
              <w:rPr>
                <w:rStyle w:val="Hipercze"/>
                <w:noProof/>
              </w:rPr>
              <w:t>1</w:t>
            </w:r>
            <w:r w:rsidR="001628EB">
              <w:rPr>
                <w:rFonts w:asciiTheme="minorHAnsi" w:eastAsiaTheme="minorEastAsia" w:hAnsiTheme="minorHAnsi" w:cstheme="minorBidi"/>
                <w:noProof/>
                <w:sz w:val="22"/>
                <w:szCs w:val="22"/>
              </w:rPr>
              <w:tab/>
            </w:r>
            <w:r w:rsidR="001628EB" w:rsidRPr="00B15428">
              <w:rPr>
                <w:rStyle w:val="Hipercze"/>
                <w:noProof/>
              </w:rPr>
              <w:t>Zawartość</w:t>
            </w:r>
            <w:r w:rsidR="001628EB">
              <w:rPr>
                <w:noProof/>
                <w:webHidden/>
              </w:rPr>
              <w:tab/>
            </w:r>
            <w:r w:rsidR="001628EB">
              <w:rPr>
                <w:noProof/>
                <w:webHidden/>
              </w:rPr>
              <w:fldChar w:fldCharType="begin"/>
            </w:r>
            <w:r w:rsidR="001628EB">
              <w:rPr>
                <w:noProof/>
                <w:webHidden/>
              </w:rPr>
              <w:instrText xml:space="preserve"> PAGEREF _Toc16279490 \h </w:instrText>
            </w:r>
            <w:r w:rsidR="001628EB">
              <w:rPr>
                <w:noProof/>
                <w:webHidden/>
              </w:rPr>
            </w:r>
            <w:r w:rsidR="001628EB">
              <w:rPr>
                <w:noProof/>
                <w:webHidden/>
              </w:rPr>
              <w:fldChar w:fldCharType="separate"/>
            </w:r>
            <w:r w:rsidR="001628EB">
              <w:rPr>
                <w:noProof/>
                <w:webHidden/>
              </w:rPr>
              <w:t>2</w:t>
            </w:r>
            <w:r w:rsidR="001628EB">
              <w:rPr>
                <w:noProof/>
                <w:webHidden/>
              </w:rPr>
              <w:fldChar w:fldCharType="end"/>
            </w:r>
          </w:hyperlink>
        </w:p>
        <w:p w:rsidR="001628EB" w:rsidRDefault="001628EB">
          <w:pPr>
            <w:pStyle w:val="Spistreci1"/>
            <w:tabs>
              <w:tab w:val="left" w:pos="880"/>
              <w:tab w:val="right" w:leader="dot" w:pos="9061"/>
            </w:tabs>
            <w:rPr>
              <w:rFonts w:asciiTheme="minorHAnsi" w:eastAsiaTheme="minorEastAsia" w:hAnsiTheme="minorHAnsi" w:cstheme="minorBidi"/>
              <w:noProof/>
              <w:sz w:val="22"/>
              <w:szCs w:val="22"/>
            </w:rPr>
          </w:pPr>
          <w:hyperlink w:anchor="_Toc16279491" w:history="1">
            <w:r w:rsidRPr="00B15428">
              <w:rPr>
                <w:rStyle w:val="Hipercze"/>
                <w:noProof/>
              </w:rPr>
              <w:t>2</w:t>
            </w:r>
            <w:r>
              <w:rPr>
                <w:rFonts w:asciiTheme="minorHAnsi" w:eastAsiaTheme="minorEastAsia" w:hAnsiTheme="minorHAnsi" w:cstheme="minorBidi"/>
                <w:noProof/>
                <w:sz w:val="22"/>
                <w:szCs w:val="22"/>
              </w:rPr>
              <w:tab/>
            </w:r>
            <w:r w:rsidRPr="00B15428">
              <w:rPr>
                <w:rStyle w:val="Hipercze"/>
                <w:noProof/>
              </w:rPr>
              <w:t>Wstęp</w:t>
            </w:r>
            <w:r>
              <w:rPr>
                <w:noProof/>
                <w:webHidden/>
              </w:rPr>
              <w:tab/>
            </w:r>
            <w:r>
              <w:rPr>
                <w:noProof/>
                <w:webHidden/>
              </w:rPr>
              <w:fldChar w:fldCharType="begin"/>
            </w:r>
            <w:r>
              <w:rPr>
                <w:noProof/>
                <w:webHidden/>
              </w:rPr>
              <w:instrText xml:space="preserve"> PAGEREF _Toc16279491 \h </w:instrText>
            </w:r>
            <w:r>
              <w:rPr>
                <w:noProof/>
                <w:webHidden/>
              </w:rPr>
            </w:r>
            <w:r>
              <w:rPr>
                <w:noProof/>
                <w:webHidden/>
              </w:rPr>
              <w:fldChar w:fldCharType="separate"/>
            </w:r>
            <w:r>
              <w:rPr>
                <w:noProof/>
                <w:webHidden/>
              </w:rPr>
              <w:t>3</w:t>
            </w:r>
            <w:r>
              <w:rPr>
                <w:noProof/>
                <w:webHidden/>
              </w:rPr>
              <w:fldChar w:fldCharType="end"/>
            </w:r>
          </w:hyperlink>
        </w:p>
        <w:p w:rsidR="001628EB" w:rsidRDefault="001628EB">
          <w:pPr>
            <w:pStyle w:val="Spistreci1"/>
            <w:tabs>
              <w:tab w:val="left" w:pos="880"/>
              <w:tab w:val="right" w:leader="dot" w:pos="9061"/>
            </w:tabs>
            <w:rPr>
              <w:rFonts w:asciiTheme="minorHAnsi" w:eastAsiaTheme="minorEastAsia" w:hAnsiTheme="minorHAnsi" w:cstheme="minorBidi"/>
              <w:noProof/>
              <w:sz w:val="22"/>
              <w:szCs w:val="22"/>
            </w:rPr>
          </w:pPr>
          <w:hyperlink w:anchor="_Toc16279492" w:history="1">
            <w:r w:rsidRPr="00B15428">
              <w:rPr>
                <w:rStyle w:val="Hipercze"/>
                <w:noProof/>
              </w:rPr>
              <w:t>3</w:t>
            </w:r>
            <w:r>
              <w:rPr>
                <w:rFonts w:asciiTheme="minorHAnsi" w:eastAsiaTheme="minorEastAsia" w:hAnsiTheme="minorHAnsi" w:cstheme="minorBidi"/>
                <w:noProof/>
                <w:sz w:val="22"/>
                <w:szCs w:val="22"/>
              </w:rPr>
              <w:tab/>
            </w:r>
            <w:r w:rsidRPr="00B15428">
              <w:rPr>
                <w:rStyle w:val="Hipercze"/>
                <w:noProof/>
              </w:rPr>
              <w:t>Planowanie</w:t>
            </w:r>
            <w:r>
              <w:rPr>
                <w:noProof/>
                <w:webHidden/>
              </w:rPr>
              <w:tab/>
            </w:r>
            <w:r>
              <w:rPr>
                <w:noProof/>
                <w:webHidden/>
              </w:rPr>
              <w:fldChar w:fldCharType="begin"/>
            </w:r>
            <w:r>
              <w:rPr>
                <w:noProof/>
                <w:webHidden/>
              </w:rPr>
              <w:instrText xml:space="preserve"> PAGEREF _Toc16279492 \h </w:instrText>
            </w:r>
            <w:r>
              <w:rPr>
                <w:noProof/>
                <w:webHidden/>
              </w:rPr>
            </w:r>
            <w:r>
              <w:rPr>
                <w:noProof/>
                <w:webHidden/>
              </w:rPr>
              <w:fldChar w:fldCharType="separate"/>
            </w:r>
            <w:r>
              <w:rPr>
                <w:noProof/>
                <w:webHidden/>
              </w:rPr>
              <w:t>4</w:t>
            </w:r>
            <w:r>
              <w:rPr>
                <w:noProof/>
                <w:webHidden/>
              </w:rPr>
              <w:fldChar w:fldCharType="end"/>
            </w:r>
          </w:hyperlink>
        </w:p>
        <w:p w:rsidR="001628EB" w:rsidRDefault="001628EB">
          <w:pPr>
            <w:pStyle w:val="Spistreci2"/>
            <w:tabs>
              <w:tab w:val="left" w:pos="1100"/>
              <w:tab w:val="right" w:leader="dot" w:pos="9061"/>
            </w:tabs>
            <w:rPr>
              <w:rFonts w:asciiTheme="minorHAnsi" w:eastAsiaTheme="minorEastAsia" w:hAnsiTheme="minorHAnsi" w:cstheme="minorBidi"/>
              <w:noProof/>
              <w:sz w:val="22"/>
              <w:szCs w:val="22"/>
            </w:rPr>
          </w:pPr>
          <w:hyperlink w:anchor="_Toc16279495" w:history="1">
            <w:r w:rsidRPr="00B15428">
              <w:rPr>
                <w:rStyle w:val="Hipercze"/>
                <w:noProof/>
              </w:rPr>
              <w:t>3.1</w:t>
            </w:r>
            <w:r>
              <w:rPr>
                <w:rFonts w:asciiTheme="minorHAnsi" w:eastAsiaTheme="minorEastAsia" w:hAnsiTheme="minorHAnsi" w:cstheme="minorBidi"/>
                <w:noProof/>
                <w:sz w:val="22"/>
                <w:szCs w:val="22"/>
              </w:rPr>
              <w:tab/>
            </w:r>
            <w:r w:rsidRPr="00B15428">
              <w:rPr>
                <w:rStyle w:val="Hipercze"/>
                <w:noProof/>
              </w:rPr>
              <w:t>Rodzaje planowania</w:t>
            </w:r>
            <w:r>
              <w:rPr>
                <w:noProof/>
                <w:webHidden/>
              </w:rPr>
              <w:tab/>
            </w:r>
            <w:r>
              <w:rPr>
                <w:noProof/>
                <w:webHidden/>
              </w:rPr>
              <w:fldChar w:fldCharType="begin"/>
            </w:r>
            <w:r>
              <w:rPr>
                <w:noProof/>
                <w:webHidden/>
              </w:rPr>
              <w:instrText xml:space="preserve"> PAGEREF _Toc16279495 \h </w:instrText>
            </w:r>
            <w:r>
              <w:rPr>
                <w:noProof/>
                <w:webHidden/>
              </w:rPr>
            </w:r>
            <w:r>
              <w:rPr>
                <w:noProof/>
                <w:webHidden/>
              </w:rPr>
              <w:fldChar w:fldCharType="separate"/>
            </w:r>
            <w:r>
              <w:rPr>
                <w:noProof/>
                <w:webHidden/>
              </w:rPr>
              <w:t>4</w:t>
            </w:r>
            <w:r>
              <w:rPr>
                <w:noProof/>
                <w:webHidden/>
              </w:rPr>
              <w:fldChar w:fldCharType="end"/>
            </w:r>
          </w:hyperlink>
        </w:p>
        <w:p w:rsidR="001628EB" w:rsidRDefault="001628EB">
          <w:pPr>
            <w:pStyle w:val="Spistreci2"/>
            <w:tabs>
              <w:tab w:val="left" w:pos="1100"/>
              <w:tab w:val="right" w:leader="dot" w:pos="9061"/>
            </w:tabs>
            <w:rPr>
              <w:rFonts w:asciiTheme="minorHAnsi" w:eastAsiaTheme="minorEastAsia" w:hAnsiTheme="minorHAnsi" w:cstheme="minorBidi"/>
              <w:noProof/>
              <w:sz w:val="22"/>
              <w:szCs w:val="22"/>
            </w:rPr>
          </w:pPr>
          <w:hyperlink w:anchor="_Toc16279496" w:history="1">
            <w:r w:rsidRPr="00B15428">
              <w:rPr>
                <w:rStyle w:val="Hipercze"/>
                <w:noProof/>
              </w:rPr>
              <w:t>3.2</w:t>
            </w:r>
            <w:r>
              <w:rPr>
                <w:rFonts w:asciiTheme="minorHAnsi" w:eastAsiaTheme="minorEastAsia" w:hAnsiTheme="minorHAnsi" w:cstheme="minorBidi"/>
                <w:noProof/>
                <w:sz w:val="22"/>
                <w:szCs w:val="22"/>
              </w:rPr>
              <w:tab/>
            </w:r>
            <w:r w:rsidRPr="00B15428">
              <w:rPr>
                <w:rStyle w:val="Hipercze"/>
                <w:noProof/>
              </w:rPr>
              <w:t>Metody planowania</w:t>
            </w:r>
            <w:r>
              <w:rPr>
                <w:noProof/>
                <w:webHidden/>
              </w:rPr>
              <w:tab/>
            </w:r>
            <w:r>
              <w:rPr>
                <w:noProof/>
                <w:webHidden/>
              </w:rPr>
              <w:fldChar w:fldCharType="begin"/>
            </w:r>
            <w:r>
              <w:rPr>
                <w:noProof/>
                <w:webHidden/>
              </w:rPr>
              <w:instrText xml:space="preserve"> PAGEREF _Toc16279496 \h </w:instrText>
            </w:r>
            <w:r>
              <w:rPr>
                <w:noProof/>
                <w:webHidden/>
              </w:rPr>
            </w:r>
            <w:r>
              <w:rPr>
                <w:noProof/>
                <w:webHidden/>
              </w:rPr>
              <w:fldChar w:fldCharType="separate"/>
            </w:r>
            <w:r>
              <w:rPr>
                <w:noProof/>
                <w:webHidden/>
              </w:rPr>
              <w:t>6</w:t>
            </w:r>
            <w:r>
              <w:rPr>
                <w:noProof/>
                <w:webHidden/>
              </w:rPr>
              <w:fldChar w:fldCharType="end"/>
            </w:r>
          </w:hyperlink>
        </w:p>
        <w:p w:rsidR="001628EB" w:rsidRDefault="001628EB">
          <w:pPr>
            <w:pStyle w:val="Spistreci3"/>
            <w:tabs>
              <w:tab w:val="left" w:pos="1540"/>
              <w:tab w:val="right" w:leader="dot" w:pos="9061"/>
            </w:tabs>
            <w:rPr>
              <w:rFonts w:asciiTheme="minorHAnsi" w:eastAsiaTheme="minorEastAsia" w:hAnsiTheme="minorHAnsi" w:cstheme="minorBidi"/>
              <w:noProof/>
              <w:sz w:val="22"/>
              <w:szCs w:val="22"/>
            </w:rPr>
          </w:pPr>
          <w:hyperlink w:anchor="_Toc16279497" w:history="1">
            <w:r w:rsidRPr="00B15428">
              <w:rPr>
                <w:rStyle w:val="Hipercze"/>
                <w:noProof/>
              </w:rPr>
              <w:t>3.2.1</w:t>
            </w:r>
            <w:r>
              <w:rPr>
                <w:rFonts w:asciiTheme="minorHAnsi" w:eastAsiaTheme="minorEastAsia" w:hAnsiTheme="minorHAnsi" w:cstheme="minorBidi"/>
                <w:noProof/>
                <w:sz w:val="22"/>
                <w:szCs w:val="22"/>
              </w:rPr>
              <w:tab/>
            </w:r>
            <w:r w:rsidRPr="00B15428">
              <w:rPr>
                <w:rStyle w:val="Hipercze"/>
                <w:noProof/>
              </w:rPr>
              <w:t>Metoda scenariuszowa</w:t>
            </w:r>
            <w:r>
              <w:rPr>
                <w:noProof/>
                <w:webHidden/>
              </w:rPr>
              <w:tab/>
            </w:r>
            <w:r>
              <w:rPr>
                <w:noProof/>
                <w:webHidden/>
              </w:rPr>
              <w:fldChar w:fldCharType="begin"/>
            </w:r>
            <w:r>
              <w:rPr>
                <w:noProof/>
                <w:webHidden/>
              </w:rPr>
              <w:instrText xml:space="preserve"> PAGEREF _Toc16279497 \h </w:instrText>
            </w:r>
            <w:r>
              <w:rPr>
                <w:noProof/>
                <w:webHidden/>
              </w:rPr>
            </w:r>
            <w:r>
              <w:rPr>
                <w:noProof/>
                <w:webHidden/>
              </w:rPr>
              <w:fldChar w:fldCharType="separate"/>
            </w:r>
            <w:r>
              <w:rPr>
                <w:noProof/>
                <w:webHidden/>
              </w:rPr>
              <w:t>6</w:t>
            </w:r>
            <w:r>
              <w:rPr>
                <w:noProof/>
                <w:webHidden/>
              </w:rPr>
              <w:fldChar w:fldCharType="end"/>
            </w:r>
          </w:hyperlink>
        </w:p>
        <w:p w:rsidR="001628EB" w:rsidRDefault="001628EB">
          <w:pPr>
            <w:pStyle w:val="Spistreci3"/>
            <w:tabs>
              <w:tab w:val="left" w:pos="1540"/>
              <w:tab w:val="right" w:leader="dot" w:pos="9061"/>
            </w:tabs>
            <w:rPr>
              <w:rFonts w:asciiTheme="minorHAnsi" w:eastAsiaTheme="minorEastAsia" w:hAnsiTheme="minorHAnsi" w:cstheme="minorBidi"/>
              <w:noProof/>
              <w:sz w:val="22"/>
              <w:szCs w:val="22"/>
            </w:rPr>
          </w:pPr>
          <w:hyperlink w:anchor="_Toc16279498" w:history="1">
            <w:r w:rsidRPr="00B15428">
              <w:rPr>
                <w:rStyle w:val="Hipercze"/>
                <w:noProof/>
              </w:rPr>
              <w:t>3.2.2</w:t>
            </w:r>
            <w:r>
              <w:rPr>
                <w:rFonts w:asciiTheme="minorHAnsi" w:eastAsiaTheme="minorEastAsia" w:hAnsiTheme="minorHAnsi" w:cstheme="minorBidi"/>
                <w:noProof/>
                <w:sz w:val="22"/>
                <w:szCs w:val="22"/>
              </w:rPr>
              <w:tab/>
            </w:r>
            <w:r w:rsidRPr="00B15428">
              <w:rPr>
                <w:rStyle w:val="Hipercze"/>
                <w:noProof/>
              </w:rPr>
              <w:t>Metoda symulacyjna</w:t>
            </w:r>
            <w:r>
              <w:rPr>
                <w:noProof/>
                <w:webHidden/>
              </w:rPr>
              <w:tab/>
            </w:r>
            <w:r>
              <w:rPr>
                <w:noProof/>
                <w:webHidden/>
              </w:rPr>
              <w:fldChar w:fldCharType="begin"/>
            </w:r>
            <w:r>
              <w:rPr>
                <w:noProof/>
                <w:webHidden/>
              </w:rPr>
              <w:instrText xml:space="preserve"> PAGEREF _Toc16279498 \h </w:instrText>
            </w:r>
            <w:r>
              <w:rPr>
                <w:noProof/>
                <w:webHidden/>
              </w:rPr>
            </w:r>
            <w:r>
              <w:rPr>
                <w:noProof/>
                <w:webHidden/>
              </w:rPr>
              <w:fldChar w:fldCharType="separate"/>
            </w:r>
            <w:r>
              <w:rPr>
                <w:noProof/>
                <w:webHidden/>
              </w:rPr>
              <w:t>7</w:t>
            </w:r>
            <w:r>
              <w:rPr>
                <w:noProof/>
                <w:webHidden/>
              </w:rPr>
              <w:fldChar w:fldCharType="end"/>
            </w:r>
          </w:hyperlink>
        </w:p>
        <w:p w:rsidR="001628EB" w:rsidRDefault="001628EB">
          <w:pPr>
            <w:pStyle w:val="Spistreci3"/>
            <w:tabs>
              <w:tab w:val="left" w:pos="1540"/>
              <w:tab w:val="right" w:leader="dot" w:pos="9061"/>
            </w:tabs>
            <w:rPr>
              <w:rFonts w:asciiTheme="minorHAnsi" w:eastAsiaTheme="minorEastAsia" w:hAnsiTheme="minorHAnsi" w:cstheme="minorBidi"/>
              <w:noProof/>
              <w:sz w:val="22"/>
              <w:szCs w:val="22"/>
            </w:rPr>
          </w:pPr>
          <w:hyperlink w:anchor="_Toc16279499" w:history="1">
            <w:r w:rsidRPr="00B15428">
              <w:rPr>
                <w:rStyle w:val="Hipercze"/>
                <w:noProof/>
              </w:rPr>
              <w:t>3.2.3</w:t>
            </w:r>
            <w:r>
              <w:rPr>
                <w:rFonts w:asciiTheme="minorHAnsi" w:eastAsiaTheme="minorEastAsia" w:hAnsiTheme="minorHAnsi" w:cstheme="minorBidi"/>
                <w:noProof/>
                <w:sz w:val="22"/>
                <w:szCs w:val="22"/>
              </w:rPr>
              <w:tab/>
            </w:r>
            <w:r w:rsidRPr="00B15428">
              <w:rPr>
                <w:rStyle w:val="Hipercze"/>
                <w:noProof/>
              </w:rPr>
              <w:t>Diagram Gantta</w:t>
            </w:r>
            <w:r>
              <w:rPr>
                <w:noProof/>
                <w:webHidden/>
              </w:rPr>
              <w:tab/>
            </w:r>
            <w:r>
              <w:rPr>
                <w:noProof/>
                <w:webHidden/>
              </w:rPr>
              <w:fldChar w:fldCharType="begin"/>
            </w:r>
            <w:r>
              <w:rPr>
                <w:noProof/>
                <w:webHidden/>
              </w:rPr>
              <w:instrText xml:space="preserve"> PAGEREF _Toc16279499 \h </w:instrText>
            </w:r>
            <w:r>
              <w:rPr>
                <w:noProof/>
                <w:webHidden/>
              </w:rPr>
            </w:r>
            <w:r>
              <w:rPr>
                <w:noProof/>
                <w:webHidden/>
              </w:rPr>
              <w:fldChar w:fldCharType="separate"/>
            </w:r>
            <w:r>
              <w:rPr>
                <w:noProof/>
                <w:webHidden/>
              </w:rPr>
              <w:t>8</w:t>
            </w:r>
            <w:r>
              <w:rPr>
                <w:noProof/>
                <w:webHidden/>
              </w:rPr>
              <w:fldChar w:fldCharType="end"/>
            </w:r>
          </w:hyperlink>
        </w:p>
        <w:p w:rsidR="001628EB" w:rsidRDefault="001628EB">
          <w:pPr>
            <w:pStyle w:val="Spistreci3"/>
            <w:tabs>
              <w:tab w:val="left" w:pos="1540"/>
              <w:tab w:val="right" w:leader="dot" w:pos="9061"/>
            </w:tabs>
            <w:rPr>
              <w:rFonts w:asciiTheme="minorHAnsi" w:eastAsiaTheme="minorEastAsia" w:hAnsiTheme="minorHAnsi" w:cstheme="minorBidi"/>
              <w:noProof/>
              <w:sz w:val="22"/>
              <w:szCs w:val="22"/>
            </w:rPr>
          </w:pPr>
          <w:hyperlink w:anchor="_Toc16279500" w:history="1">
            <w:r w:rsidRPr="00B15428">
              <w:rPr>
                <w:rStyle w:val="Hipercze"/>
                <w:noProof/>
              </w:rPr>
              <w:t>3.2.4</w:t>
            </w:r>
            <w:r>
              <w:rPr>
                <w:rFonts w:asciiTheme="minorHAnsi" w:eastAsiaTheme="minorEastAsia" w:hAnsiTheme="minorHAnsi" w:cstheme="minorBidi"/>
                <w:noProof/>
                <w:sz w:val="22"/>
                <w:szCs w:val="22"/>
              </w:rPr>
              <w:tab/>
            </w:r>
            <w:r w:rsidRPr="00B15428">
              <w:rPr>
                <w:rStyle w:val="Hipercze"/>
                <w:noProof/>
              </w:rPr>
              <w:t>Planowanie sieciowe</w:t>
            </w:r>
            <w:r>
              <w:rPr>
                <w:noProof/>
                <w:webHidden/>
              </w:rPr>
              <w:tab/>
            </w:r>
            <w:r>
              <w:rPr>
                <w:noProof/>
                <w:webHidden/>
              </w:rPr>
              <w:fldChar w:fldCharType="begin"/>
            </w:r>
            <w:r>
              <w:rPr>
                <w:noProof/>
                <w:webHidden/>
              </w:rPr>
              <w:instrText xml:space="preserve"> PAGEREF _Toc16279500 \h </w:instrText>
            </w:r>
            <w:r>
              <w:rPr>
                <w:noProof/>
                <w:webHidden/>
              </w:rPr>
            </w:r>
            <w:r>
              <w:rPr>
                <w:noProof/>
                <w:webHidden/>
              </w:rPr>
              <w:fldChar w:fldCharType="separate"/>
            </w:r>
            <w:r>
              <w:rPr>
                <w:noProof/>
                <w:webHidden/>
              </w:rPr>
              <w:t>11</w:t>
            </w:r>
            <w:r>
              <w:rPr>
                <w:noProof/>
                <w:webHidden/>
              </w:rPr>
              <w:fldChar w:fldCharType="end"/>
            </w:r>
          </w:hyperlink>
        </w:p>
        <w:p w:rsidR="001628EB" w:rsidRDefault="001628EB">
          <w:pPr>
            <w:pStyle w:val="Spistreci3"/>
            <w:tabs>
              <w:tab w:val="left" w:pos="1540"/>
              <w:tab w:val="right" w:leader="dot" w:pos="9061"/>
            </w:tabs>
            <w:rPr>
              <w:rFonts w:asciiTheme="minorHAnsi" w:eastAsiaTheme="minorEastAsia" w:hAnsiTheme="minorHAnsi" w:cstheme="minorBidi"/>
              <w:noProof/>
              <w:sz w:val="22"/>
              <w:szCs w:val="22"/>
            </w:rPr>
          </w:pPr>
          <w:hyperlink w:anchor="_Toc16279501" w:history="1">
            <w:r w:rsidRPr="00B15428">
              <w:rPr>
                <w:rStyle w:val="Hipercze"/>
                <w:noProof/>
              </w:rPr>
              <w:t>3.2.5</w:t>
            </w:r>
            <w:r>
              <w:rPr>
                <w:rFonts w:asciiTheme="minorHAnsi" w:eastAsiaTheme="minorEastAsia" w:hAnsiTheme="minorHAnsi" w:cstheme="minorBidi"/>
                <w:noProof/>
                <w:sz w:val="22"/>
                <w:szCs w:val="22"/>
              </w:rPr>
              <w:tab/>
            </w:r>
            <w:r w:rsidRPr="00B15428">
              <w:rPr>
                <w:rStyle w:val="Hipercze"/>
                <w:noProof/>
              </w:rPr>
              <w:t>Metody portfelowe</w:t>
            </w:r>
            <w:r>
              <w:rPr>
                <w:noProof/>
                <w:webHidden/>
              </w:rPr>
              <w:tab/>
            </w:r>
            <w:r>
              <w:rPr>
                <w:noProof/>
                <w:webHidden/>
              </w:rPr>
              <w:fldChar w:fldCharType="begin"/>
            </w:r>
            <w:r>
              <w:rPr>
                <w:noProof/>
                <w:webHidden/>
              </w:rPr>
              <w:instrText xml:space="preserve"> PAGEREF _Toc16279501 \h </w:instrText>
            </w:r>
            <w:r>
              <w:rPr>
                <w:noProof/>
                <w:webHidden/>
              </w:rPr>
            </w:r>
            <w:r>
              <w:rPr>
                <w:noProof/>
                <w:webHidden/>
              </w:rPr>
              <w:fldChar w:fldCharType="separate"/>
            </w:r>
            <w:r>
              <w:rPr>
                <w:noProof/>
                <w:webHidden/>
              </w:rPr>
              <w:t>14</w:t>
            </w:r>
            <w:r>
              <w:rPr>
                <w:noProof/>
                <w:webHidden/>
              </w:rPr>
              <w:fldChar w:fldCharType="end"/>
            </w:r>
          </w:hyperlink>
        </w:p>
        <w:p w:rsidR="001628EB" w:rsidRDefault="001628EB">
          <w:pPr>
            <w:pStyle w:val="Spistreci1"/>
            <w:tabs>
              <w:tab w:val="left" w:pos="880"/>
              <w:tab w:val="right" w:leader="dot" w:pos="9061"/>
            </w:tabs>
            <w:rPr>
              <w:rFonts w:asciiTheme="minorHAnsi" w:eastAsiaTheme="minorEastAsia" w:hAnsiTheme="minorHAnsi" w:cstheme="minorBidi"/>
              <w:noProof/>
              <w:sz w:val="22"/>
              <w:szCs w:val="22"/>
            </w:rPr>
          </w:pPr>
          <w:hyperlink w:anchor="_Toc16279502" w:history="1">
            <w:r w:rsidRPr="00B15428">
              <w:rPr>
                <w:rStyle w:val="Hipercze"/>
                <w:noProof/>
              </w:rPr>
              <w:t>4</w:t>
            </w:r>
            <w:r>
              <w:rPr>
                <w:rFonts w:asciiTheme="minorHAnsi" w:eastAsiaTheme="minorEastAsia" w:hAnsiTheme="minorHAnsi" w:cstheme="minorBidi"/>
                <w:noProof/>
                <w:sz w:val="22"/>
                <w:szCs w:val="22"/>
              </w:rPr>
              <w:tab/>
            </w:r>
            <w:r w:rsidRPr="00B15428">
              <w:rPr>
                <w:rStyle w:val="Hipercze"/>
                <w:noProof/>
              </w:rPr>
              <w:t>Tu będzie kolejny rozdział</w:t>
            </w:r>
            <w:r>
              <w:rPr>
                <w:noProof/>
                <w:webHidden/>
              </w:rPr>
              <w:tab/>
            </w:r>
            <w:r>
              <w:rPr>
                <w:noProof/>
                <w:webHidden/>
              </w:rPr>
              <w:fldChar w:fldCharType="begin"/>
            </w:r>
            <w:r>
              <w:rPr>
                <w:noProof/>
                <w:webHidden/>
              </w:rPr>
              <w:instrText xml:space="preserve"> PAGEREF _Toc16279502 \h </w:instrText>
            </w:r>
            <w:r>
              <w:rPr>
                <w:noProof/>
                <w:webHidden/>
              </w:rPr>
            </w:r>
            <w:r>
              <w:rPr>
                <w:noProof/>
                <w:webHidden/>
              </w:rPr>
              <w:fldChar w:fldCharType="separate"/>
            </w:r>
            <w:r>
              <w:rPr>
                <w:noProof/>
                <w:webHidden/>
              </w:rPr>
              <w:t>18</w:t>
            </w:r>
            <w:r>
              <w:rPr>
                <w:noProof/>
                <w:webHidden/>
              </w:rPr>
              <w:fldChar w:fldCharType="end"/>
            </w:r>
          </w:hyperlink>
        </w:p>
        <w:p w:rsidR="00B546B3" w:rsidRDefault="000C5A22">
          <w:r>
            <w:fldChar w:fldCharType="end"/>
          </w:r>
        </w:p>
      </w:sdtContent>
    </w:sdt>
    <w:p w:rsidR="00B546B3" w:rsidRDefault="00B546B3" w:rsidP="00EF4277"/>
    <w:p w:rsidR="00B546B3" w:rsidRDefault="00B546B3">
      <w:pPr>
        <w:spacing w:after="200" w:line="276" w:lineRule="auto"/>
      </w:pPr>
      <w:r>
        <w:br w:type="page"/>
      </w:r>
    </w:p>
    <w:p w:rsidR="00D97473" w:rsidRPr="00C704E2" w:rsidRDefault="00B546B3" w:rsidP="00C704E2">
      <w:pPr>
        <w:pStyle w:val="Nagwek1"/>
      </w:pPr>
      <w:bookmarkStart w:id="1" w:name="_Toc16279491"/>
      <w:r w:rsidRPr="00C704E2">
        <w:lastRenderedPageBreak/>
        <w:t>Wstęp</w:t>
      </w:r>
      <w:bookmarkEnd w:id="1"/>
    </w:p>
    <w:p w:rsidR="00B546B3" w:rsidRPr="007F2985" w:rsidRDefault="009E5C67" w:rsidP="007F2985">
      <w:pPr>
        <w:rPr>
          <w:sz w:val="25"/>
          <w:szCs w:val="25"/>
        </w:rPr>
      </w:pPr>
      <w:r w:rsidRPr="007F2985">
        <w:rPr>
          <w:sz w:val="25"/>
          <w:szCs w:val="25"/>
        </w:rPr>
        <w:t xml:space="preserve"> </w:t>
      </w:r>
    </w:p>
    <w:p w:rsidR="00C94AAF"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704E2" w:rsidRDefault="00C704E2" w:rsidP="00C704E2">
      <w:pPr>
        <w:ind w:firstLine="360"/>
      </w:pPr>
    </w:p>
    <w:p w:rsidR="00BB1FED" w:rsidRDefault="00BB1FED" w:rsidP="00C704E2">
      <w:pPr>
        <w:ind w:firstLine="360"/>
      </w:pPr>
      <w: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D14EAC" w:rsidRPr="00C704E2" w:rsidRDefault="00BB1FED" w:rsidP="00C704E2">
      <w:pPr>
        <w:pStyle w:val="Nagwek1"/>
      </w:pPr>
      <w:bookmarkStart w:id="2" w:name="_Toc16279492"/>
      <w:r w:rsidRPr="00C704E2">
        <w:lastRenderedPageBreak/>
        <w:t>Planowanie</w:t>
      </w:r>
      <w:bookmarkEnd w:id="2"/>
    </w:p>
    <w:p w:rsidR="007D7750" w:rsidRDefault="007D7750" w:rsidP="007D7750"/>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End w:id="3"/>
      <w:bookmarkEnd w:id="4"/>
      <w:bookmarkEnd w:id="5"/>
      <w:bookmarkEnd w:id="6"/>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7" w:name="_Toc16272009"/>
      <w:bookmarkStart w:id="8" w:name="_Toc16276814"/>
      <w:bookmarkStart w:id="9" w:name="_Toc16279359"/>
      <w:bookmarkStart w:id="10" w:name="_Toc16279494"/>
      <w:bookmarkEnd w:id="7"/>
      <w:bookmarkEnd w:id="8"/>
      <w:bookmarkEnd w:id="9"/>
      <w:bookmarkEnd w:id="10"/>
    </w:p>
    <w:p w:rsidR="00D14EAC" w:rsidRPr="00D14EAC" w:rsidRDefault="00D14EAC" w:rsidP="00C704E2">
      <w:pPr>
        <w:pStyle w:val="Nagwek2"/>
      </w:pPr>
      <w:bookmarkStart w:id="11" w:name="_Toc16279495"/>
      <w:r w:rsidRPr="0002120F">
        <w:t>Rodzaje planowania</w:t>
      </w:r>
      <w:bookmarkEnd w:id="11"/>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Pr="00063B63" w:rsidRDefault="00063B63" w:rsidP="00063B63">
      <w:pPr>
        <w:ind w:firstLine="360"/>
        <w:rPr>
          <w:szCs w:val="24"/>
        </w:rPr>
      </w:pPr>
    </w:p>
    <w:p w:rsidR="00C94AAF" w:rsidRPr="00063B63" w:rsidRDefault="00063B63" w:rsidP="00063B63">
      <w:pPr>
        <w:ind w:firstLine="360"/>
        <w:jc w:val="center"/>
        <w:rPr>
          <w:b/>
          <w:szCs w:val="24"/>
        </w:rPr>
      </w:pPr>
      <w:r w:rsidRPr="00063B63">
        <w:rPr>
          <w:b/>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lastRenderedPageBreak/>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2" w:name="_Toc16279496"/>
      <w:r w:rsidR="00A64285" w:rsidRPr="00C704E2">
        <w:t>Metody planowania</w:t>
      </w:r>
      <w:bookmarkEnd w:id="12"/>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A64285" w:rsidRDefault="00A64285" w:rsidP="00A64285">
      <w:pPr>
        <w:ind w:left="360"/>
      </w:pPr>
    </w:p>
    <w:p w:rsidR="00A64285" w:rsidRDefault="00A64285" w:rsidP="00A64285">
      <w:pPr>
        <w:pStyle w:val="Nagwek3"/>
      </w:pPr>
      <w:bookmarkStart w:id="13" w:name="_Toc16279497"/>
      <w:r w:rsidRPr="00C704E2">
        <w:t>Metoda scenariuszowa</w:t>
      </w:r>
      <w:bookmarkEnd w:id="13"/>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lastRenderedPageBreak/>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14" w:name="_Toc16279498"/>
      <w:r>
        <w:t>Metoda symulacyjna</w:t>
      </w:r>
      <w:bookmarkEnd w:id="14"/>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lastRenderedPageBreak/>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5A208B" w:rsidRDefault="005A208B" w:rsidP="0002120F">
      <w:pPr>
        <w:pStyle w:val="Nagwek3"/>
      </w:pPr>
      <w:bookmarkStart w:id="15" w:name="_Toc16279499"/>
      <w:r>
        <w:t>Diagram Gantta</w:t>
      </w:r>
      <w:bookmarkEnd w:id="15"/>
      <w:r>
        <w:t xml:space="preserve"> </w:t>
      </w:r>
    </w:p>
    <w:p w:rsidR="00894C9D" w:rsidRPr="00894C9D" w:rsidRDefault="00894C9D" w:rsidP="00894C9D">
      <w:pPr>
        <w:pStyle w:val="Akapitzlist"/>
        <w:ind w:left="810"/>
      </w:pP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lastRenderedPageBreak/>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3D475A" w:rsidRDefault="003D475A" w:rsidP="00885DA3">
      <w:pPr>
        <w:rPr>
          <w:szCs w:val="24"/>
        </w:rPr>
      </w:pPr>
    </w:p>
    <w:p w:rsidR="003D475A" w:rsidRDefault="003D475A" w:rsidP="00885DA3">
      <w:pPr>
        <w:rPr>
          <w:szCs w:val="24"/>
        </w:rPr>
      </w:pPr>
    </w:p>
    <w:p w:rsidR="003D475A" w:rsidRDefault="003D475A" w:rsidP="00885DA3">
      <w:pPr>
        <w:rPr>
          <w:szCs w:val="24"/>
        </w:rPr>
      </w:pPr>
    </w:p>
    <w:p w:rsidR="003D475A" w:rsidRDefault="003D475A" w:rsidP="00885DA3">
      <w:pPr>
        <w:rPr>
          <w:szCs w:val="24"/>
        </w:rPr>
      </w:pPr>
    </w:p>
    <w:p w:rsidR="003D475A" w:rsidRPr="003D475A" w:rsidRDefault="003D475A" w:rsidP="003D475A">
      <w:pPr>
        <w:jc w:val="center"/>
        <w:rPr>
          <w:b/>
          <w:szCs w:val="24"/>
        </w:rPr>
      </w:pPr>
      <w:r w:rsidRPr="003D475A">
        <w:rPr>
          <w:b/>
          <w:szCs w:val="24"/>
        </w:rPr>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lastRenderedPageBreak/>
        <w:t>Ilość kluczowych zadań</w:t>
      </w:r>
    </w:p>
    <w:p w:rsidR="00B82443" w:rsidRDefault="00B82443" w:rsidP="00B82443">
      <w: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16" w:name="_Toc16279500"/>
      <w:r>
        <w:t>Planowanie sieciowe</w:t>
      </w:r>
      <w:bookmarkEnd w:id="16"/>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7339E1" w:rsidRPr="007339E1" w:rsidRDefault="007339E1" w:rsidP="007339E1">
      <w:pPr>
        <w:jc w:val="center"/>
        <w:rPr>
          <w:b/>
        </w:rPr>
      </w:pPr>
      <w:r w:rsidRPr="007339E1">
        <w:rPr>
          <w:b/>
        </w:rPr>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lastRenderedPageBreak/>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lastRenderedPageBreak/>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17" w:name="_Toc16279501"/>
      <w:r>
        <w:t>Metody portfelowe</w:t>
      </w:r>
      <w:bookmarkEnd w:id="17"/>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lastRenderedPageBreak/>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 xml:space="preserve">przewidywana stopa wzrostu jest wysoka(powyżej 10%), ale ze względu na niski udział w rynku wymagają sporych </w:t>
      </w:r>
      <w:r>
        <w:lastRenderedPageBreak/>
        <w:t>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lastRenderedPageBreak/>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Pr="004B104D" w:rsidRDefault="001628EB" w:rsidP="001628EB">
      <w:pPr>
        <w:pStyle w:val="Nagwek1"/>
      </w:pPr>
      <w:bookmarkStart w:id="18" w:name="_Toc16279502"/>
      <w:r>
        <w:lastRenderedPageBreak/>
        <w:t>Tu będzie kolejny rozdział</w:t>
      </w:r>
      <w:bookmarkEnd w:id="18"/>
    </w:p>
    <w:sectPr w:rsidR="001628EB" w:rsidRPr="004B104D" w:rsidSect="007F2985">
      <w:footerReference w:type="even" r:id="rId23"/>
      <w:footerReference w:type="default" r:id="rId24"/>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54B" w:rsidRDefault="0063754B" w:rsidP="00DE54CE">
      <w:r>
        <w:separator/>
      </w:r>
    </w:p>
  </w:endnote>
  <w:endnote w:type="continuationSeparator" w:id="1">
    <w:p w:rsidR="0063754B" w:rsidRDefault="0063754B" w:rsidP="00DE54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0C5A22"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7D7750">
      <w:rPr>
        <w:rStyle w:val="Numerstrony"/>
        <w:rFonts w:eastAsiaTheme="majorEastAsia"/>
        <w:noProof/>
      </w:rPr>
      <w:t>1</w:t>
    </w:r>
    <w:r>
      <w:rPr>
        <w:rStyle w:val="Numerstrony"/>
        <w:rFonts w:eastAsiaTheme="majorEastAsia"/>
      </w:rPr>
      <w:fldChar w:fldCharType="end"/>
    </w:r>
  </w:p>
  <w:p w:rsidR="00CF1E85" w:rsidRDefault="0063754B">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0C5A22"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1628EB">
      <w:rPr>
        <w:rStyle w:val="Numerstrony"/>
        <w:rFonts w:eastAsiaTheme="majorEastAsia"/>
        <w:noProof/>
      </w:rPr>
      <w:t>12</w:t>
    </w:r>
    <w:r>
      <w:rPr>
        <w:rStyle w:val="Numerstrony"/>
        <w:rFonts w:eastAsiaTheme="majorEastAsia"/>
      </w:rPr>
      <w:fldChar w:fldCharType="end"/>
    </w:r>
  </w:p>
  <w:p w:rsidR="00CF1E85" w:rsidRDefault="0063754B">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54B" w:rsidRDefault="0063754B" w:rsidP="00DE54CE">
      <w:r>
        <w:separator/>
      </w:r>
    </w:p>
  </w:footnote>
  <w:footnote w:type="continuationSeparator" w:id="1">
    <w:p w:rsidR="0063754B" w:rsidRDefault="0063754B"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6">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9E028F3"/>
    <w:multiLevelType w:val="multilevel"/>
    <w:tmpl w:val="F45E4C68"/>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6">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0">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22">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3"/>
  </w:num>
  <w:num w:numId="2">
    <w:abstractNumId w:val="17"/>
  </w:num>
  <w:num w:numId="3">
    <w:abstractNumId w:val="9"/>
  </w:num>
  <w:num w:numId="4">
    <w:abstractNumId w:val="14"/>
  </w:num>
  <w:num w:numId="5">
    <w:abstractNumId w:val="23"/>
  </w:num>
  <w:num w:numId="6">
    <w:abstractNumId w:val="6"/>
  </w:num>
  <w:num w:numId="7">
    <w:abstractNumId w:val="20"/>
  </w:num>
  <w:num w:numId="8">
    <w:abstractNumId w:val="16"/>
  </w:num>
  <w:num w:numId="9">
    <w:abstractNumId w:val="18"/>
  </w:num>
  <w:num w:numId="10">
    <w:abstractNumId w:val="12"/>
  </w:num>
  <w:num w:numId="11">
    <w:abstractNumId w:val="2"/>
  </w:num>
  <w:num w:numId="12">
    <w:abstractNumId w:val="11"/>
  </w:num>
  <w:num w:numId="13">
    <w:abstractNumId w:val="24"/>
  </w:num>
  <w:num w:numId="14">
    <w:abstractNumId w:val="10"/>
  </w:num>
  <w:num w:numId="15">
    <w:abstractNumId w:val="0"/>
  </w:num>
  <w:num w:numId="16">
    <w:abstractNumId w:val="19"/>
  </w:num>
  <w:num w:numId="17">
    <w:abstractNumId w:val="8"/>
  </w:num>
  <w:num w:numId="18">
    <w:abstractNumId w:val="22"/>
  </w:num>
  <w:num w:numId="19">
    <w:abstractNumId w:val="7"/>
  </w:num>
  <w:num w:numId="20">
    <w:abstractNumId w:val="13"/>
  </w:num>
  <w:num w:numId="21">
    <w:abstractNumId w:val="21"/>
  </w:num>
  <w:num w:numId="22">
    <w:abstractNumId w:val="1"/>
  </w:num>
  <w:num w:numId="23">
    <w:abstractNumId w:val="5"/>
  </w:num>
  <w:num w:numId="24">
    <w:abstractNumId w:val="4"/>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2120F"/>
    <w:rsid w:val="000435C7"/>
    <w:rsid w:val="00050228"/>
    <w:rsid w:val="00063B63"/>
    <w:rsid w:val="00072B43"/>
    <w:rsid w:val="000C5A22"/>
    <w:rsid w:val="000D7B54"/>
    <w:rsid w:val="0011244D"/>
    <w:rsid w:val="001610DF"/>
    <w:rsid w:val="001628EB"/>
    <w:rsid w:val="00173969"/>
    <w:rsid w:val="00263AF0"/>
    <w:rsid w:val="003033DB"/>
    <w:rsid w:val="003472BA"/>
    <w:rsid w:val="00361D73"/>
    <w:rsid w:val="00365C0F"/>
    <w:rsid w:val="00397920"/>
    <w:rsid w:val="003C6BD2"/>
    <w:rsid w:val="003D475A"/>
    <w:rsid w:val="003F1B7A"/>
    <w:rsid w:val="003F5C71"/>
    <w:rsid w:val="00411413"/>
    <w:rsid w:val="00447D9A"/>
    <w:rsid w:val="0046267A"/>
    <w:rsid w:val="004B104D"/>
    <w:rsid w:val="005A208B"/>
    <w:rsid w:val="005D41D6"/>
    <w:rsid w:val="00627240"/>
    <w:rsid w:val="0063754B"/>
    <w:rsid w:val="00665960"/>
    <w:rsid w:val="006901CD"/>
    <w:rsid w:val="006A5321"/>
    <w:rsid w:val="006C08F0"/>
    <w:rsid w:val="007339E1"/>
    <w:rsid w:val="00790CE1"/>
    <w:rsid w:val="007B3280"/>
    <w:rsid w:val="007B48FF"/>
    <w:rsid w:val="007D7750"/>
    <w:rsid w:val="007E7234"/>
    <w:rsid w:val="007F0D53"/>
    <w:rsid w:val="007F2985"/>
    <w:rsid w:val="0087157E"/>
    <w:rsid w:val="00885DA3"/>
    <w:rsid w:val="00894C9D"/>
    <w:rsid w:val="008A4490"/>
    <w:rsid w:val="00917CDF"/>
    <w:rsid w:val="0093150C"/>
    <w:rsid w:val="00961CFC"/>
    <w:rsid w:val="009D04D3"/>
    <w:rsid w:val="009E5C67"/>
    <w:rsid w:val="00A50244"/>
    <w:rsid w:val="00A64285"/>
    <w:rsid w:val="00A77271"/>
    <w:rsid w:val="00A77661"/>
    <w:rsid w:val="00AC1541"/>
    <w:rsid w:val="00B06F69"/>
    <w:rsid w:val="00B5058B"/>
    <w:rsid w:val="00B546B3"/>
    <w:rsid w:val="00B6605E"/>
    <w:rsid w:val="00B82443"/>
    <w:rsid w:val="00BB1FED"/>
    <w:rsid w:val="00BB522A"/>
    <w:rsid w:val="00C20B3D"/>
    <w:rsid w:val="00C25832"/>
    <w:rsid w:val="00C27C0B"/>
    <w:rsid w:val="00C30C63"/>
    <w:rsid w:val="00C704E2"/>
    <w:rsid w:val="00C94AAF"/>
    <w:rsid w:val="00CC5744"/>
    <w:rsid w:val="00D14EAC"/>
    <w:rsid w:val="00D3234A"/>
    <w:rsid w:val="00D325FD"/>
    <w:rsid w:val="00D76EE8"/>
    <w:rsid w:val="00DD365C"/>
    <w:rsid w:val="00DE54CE"/>
    <w:rsid w:val="00DE7BB6"/>
    <w:rsid w:val="00EB0ECD"/>
    <w:rsid w:val="00EF4277"/>
    <w:rsid w:val="00F9334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02120F"/>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semiHidden/>
    <w:rsid w:val="0002120F"/>
    <w:rPr>
      <w:rFonts w:asciiTheme="majorHAnsi" w:eastAsiaTheme="majorEastAsia" w:hAnsiTheme="majorHAnsi" w:cstheme="majorBidi"/>
      <w:b/>
      <w:bCs/>
      <w:i/>
      <w:iCs/>
      <w:color w:val="4F81BD" w:themeColor="accent1"/>
      <w:sz w:val="20"/>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18</Pages>
  <Words>3120</Words>
  <Characters>18721</Characters>
  <Application>Microsoft Office Word</Application>
  <DocSecurity>0</DocSecurity>
  <Lines>156</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16</cp:revision>
  <dcterms:created xsi:type="dcterms:W3CDTF">2018-08-09T09:09:00Z</dcterms:created>
  <dcterms:modified xsi:type="dcterms:W3CDTF">2019-08-09T19:44:00Z</dcterms:modified>
</cp:coreProperties>
</file>