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№1</w:t>
      </w:r>
    </w:p>
    <w:p>
      <w:pPr>
        <w:pStyle w:val="Subtitle"/>
      </w:pPr>
      <w:r>
        <w:t xml:space="preserve">Шифры простой замены</w:t>
      </w:r>
    </w:p>
    <w:p>
      <w:pPr>
        <w:pStyle w:val="Author"/>
      </w:pPr>
      <w:r>
        <w:t xml:space="preserve">Шуваев Сергей Александрович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Изучить и реализовать шифры простой замены.</w:t>
      </w:r>
      <w:r>
        <w:t xml:space="preserve"> </w:t>
      </w:r>
      <w:r>
        <w:t xml:space="preserve">Реализовать с помощью языка программирования Julia:</w:t>
      </w:r>
    </w:p>
    <w:p>
      <w:pPr>
        <w:pStyle w:val="Compact"/>
        <w:numPr>
          <w:ilvl w:val="0"/>
          <w:numId w:val="1001"/>
        </w:numPr>
      </w:pPr>
      <w:r>
        <w:t xml:space="preserve">Шифр Цезаря</w:t>
      </w:r>
    </w:p>
    <w:p>
      <w:pPr>
        <w:pStyle w:val="Compact"/>
        <w:numPr>
          <w:ilvl w:val="0"/>
          <w:numId w:val="1001"/>
        </w:numPr>
      </w:pPr>
      <w:r>
        <w:t xml:space="preserve">Шифр Атбаш</w:t>
      </w:r>
    </w:p>
    <w:bookmarkEnd w:id="9"/>
    <w:bookmarkStart w:id="10" w:name="теоретическое-введе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Теоретическое введение</w:t>
      </w:r>
    </w:p>
    <w:p>
      <w:pPr>
        <w:pStyle w:val="FirstParagraph"/>
      </w:pPr>
      <w:r>
        <w:t xml:space="preserve">Реализовать с помощью языка программирования Julia:</w:t>
      </w:r>
    </w:p>
    <w:p>
      <w:pPr>
        <w:pStyle w:val="Compact"/>
        <w:numPr>
          <w:ilvl w:val="0"/>
          <w:numId w:val="1002"/>
        </w:numPr>
      </w:pPr>
      <w:r>
        <w:t xml:space="preserve">Шифр Цезаря</w:t>
      </w:r>
    </w:p>
    <w:p>
      <w:pPr>
        <w:pStyle w:val="Compact"/>
        <w:numPr>
          <w:ilvl w:val="0"/>
          <w:numId w:val="1002"/>
        </w:numPr>
      </w:pPr>
      <w:r>
        <w:t xml:space="preserve">Шифр Атбаш</w:t>
      </w:r>
    </w:p>
    <w:bookmarkEnd w:id="10"/>
    <w:bookmarkStart w:id="11" w:name="выполнение-лабораторной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Julia – высокоуровневый свободный язык программирования с динамической типизацией, созданный для математических вычислений</w:t>
      </w:r>
      <w:r>
        <w:t xml:space="preserve"> </w:t>
      </w:r>
      <w:r>
        <w:t xml:space="preserve">[</w:t>
      </w:r>
      <w:r>
        <w:rPr>
          <w:b/>
          <w:bCs/>
        </w:rPr>
        <w:t xml:space="preserve">julialang?</w:t>
      </w:r>
      <w:r>
        <w:t xml:space="preserve">]</w:t>
      </w:r>
      <w:r>
        <w:t xml:space="preserve">. Эффективен также и для написания программ общего назначения. Синтаксис языка схож с синтаксисом других математических языков, однако имеет некоторые существенные отличия.</w:t>
      </w:r>
    </w:p>
    <w:p>
      <w:pPr>
        <w:pStyle w:val="BodyText"/>
      </w:pPr>
      <w:r>
        <w:t xml:space="preserve">Для выполнения заданий была использована официальная документация Julia</w:t>
      </w:r>
      <w:r>
        <w:t xml:space="preserve"> </w:t>
      </w:r>
      <w:r>
        <w:t xml:space="preserve">[</w:t>
      </w:r>
      <w:r>
        <w:rPr>
          <w:b/>
          <w:bCs/>
        </w:rPr>
        <w:t xml:space="preserve">juliadoc?</w:t>
      </w:r>
      <w:r>
        <w:t xml:space="preserve">]</w:t>
      </w:r>
      <w:r>
        <w:t xml:space="preserve">.</w:t>
      </w:r>
    </w:p>
    <w:bookmarkEnd w:id="11"/>
    <w:bookmarkStart w:id="20" w:name="выполнение-лабораторной-работы-1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Шифр Цезаря ( также он является шифром простой замены ) – это моноалфавитная подстановка, т.е. каждой букве открытого текста ставится в соответствие одна буква шифртекста.</w:t>
      </w:r>
      <w:r>
        <w:t xml:space="preserve"> </w:t>
      </w:r>
      <w:r>
        <w:t xml:space="preserve">При реализации функции шифра Цезаря на вход будет поступать слово для шифрования в виде строки и ключ в виде числа, на которое мы смещаем алфавит.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ceaser</w:t>
      </w:r>
      <w:r>
        <w:rPr>
          <w:rStyle w:val="NormalTok"/>
        </w:rPr>
        <w:t xml:space="preserve">(word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, k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IOBuffer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word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br/>
      </w:r>
      <w:r>
        <w:rPr>
          <w:rStyle w:val="NormalTok"/>
        </w:rPr>
        <w:t xml:space="preserve">            shifted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Int</w:t>
      </w:r>
      <w:r>
        <w:rPr>
          <w:rStyle w:val="NormalTok"/>
        </w:rPr>
        <w:t xml:space="preserve">(c)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</w:t>
      </w:r>
      <w:r>
        <w:rPr>
          <w:rStyle w:val="NormalTok"/>
        </w:rPr>
        <w:t xml:space="preserve">(</w:t>
      </w:r>
      <w:r>
        <w:rPr>
          <w:rStyle w:val="CharTok"/>
        </w:rPr>
        <w:t xml:space="preserve">'a'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k)</w:t>
      </w:r>
      <w:r>
        <w:rPr>
          <w:rStyle w:val="OperatorTok"/>
        </w:rPr>
        <w:t xml:space="preserve">%</w:t>
      </w:r>
      <w:r>
        <w:rPr>
          <w:rStyle w:val="FloatTok"/>
        </w:rPr>
        <w:t xml:space="preserve">26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</w:t>
      </w:r>
      <w:r>
        <w:rPr>
          <w:rStyle w:val="NormalTok"/>
        </w:rPr>
        <w:t xml:space="preserve">(</w:t>
      </w:r>
      <w:r>
        <w:rPr>
          <w:rStyle w:val="CharTok"/>
        </w:rPr>
        <w:t xml:space="preserve">'a'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(result, </w:t>
      </w:r>
      <w:r>
        <w:rPr>
          <w:rStyle w:val="FunctionTok"/>
        </w:rPr>
        <w:t xml:space="preserve">Char</w:t>
      </w:r>
      <w:r>
        <w:rPr>
          <w:rStyle w:val="NormalTok"/>
        </w:rPr>
        <w:t xml:space="preserve">(shifted))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br/>
      </w:r>
      <w:r>
        <w:rPr>
          <w:rStyle w:val="NormalTok"/>
        </w:rPr>
        <w:t xml:space="preserve">            shifted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Int</w:t>
      </w:r>
      <w:r>
        <w:rPr>
          <w:rStyle w:val="NormalTok"/>
        </w:rPr>
        <w:t xml:space="preserve">(c)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</w:t>
      </w:r>
      <w:r>
        <w:rPr>
          <w:rStyle w:val="NormalTok"/>
        </w:rPr>
        <w:t xml:space="preserve">(</w:t>
      </w:r>
      <w:r>
        <w:rPr>
          <w:rStyle w:val="CharTok"/>
        </w:rPr>
        <w:t xml:space="preserve">'A'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k)</w:t>
      </w:r>
      <w:r>
        <w:rPr>
          <w:rStyle w:val="OperatorTok"/>
        </w:rPr>
        <w:t xml:space="preserve">%</w:t>
      </w:r>
      <w:r>
        <w:rPr>
          <w:rStyle w:val="FloatTok"/>
        </w:rPr>
        <w:t xml:space="preserve">26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</w:t>
      </w:r>
      <w:r>
        <w:rPr>
          <w:rStyle w:val="NormalTok"/>
        </w:rPr>
        <w:t xml:space="preserve">(</w:t>
      </w:r>
      <w:r>
        <w:rPr>
          <w:rStyle w:val="CharTok"/>
        </w:rPr>
        <w:t xml:space="preserve">'A'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(result, </w:t>
      </w:r>
      <w:r>
        <w:rPr>
          <w:rStyle w:val="FunctionTok"/>
        </w:rPr>
        <w:t xml:space="preserve">Char</w:t>
      </w:r>
      <w:r>
        <w:rPr>
          <w:rStyle w:val="NormalTok"/>
        </w:rPr>
        <w:t xml:space="preserve">(shifted))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(result, c)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take!</w:t>
      </w:r>
      <w:r>
        <w:rPr>
          <w:rStyle w:val="NormalTok"/>
        </w:rPr>
        <w:t xml:space="preserve">(result))</w:t>
      </w:r>
      <w:r>
        <w:br/>
      </w:r>
      <w:r>
        <w:rPr>
          <w:rStyle w:val="KeywordTok"/>
        </w:rPr>
        <w:t xml:space="preserve">end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key: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readline</w:t>
      </w:r>
      <w:r>
        <w:rPr>
          <w:rStyle w:val="NormalTok"/>
        </w:rPr>
        <w:t xml:space="preserve">())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word: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readline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ceaser</w:t>
      </w:r>
      <w:r>
        <w:rPr>
          <w:rStyle w:val="NormalTok"/>
        </w:rPr>
        <w:t xml:space="preserve">(word,k))</w:t>
      </w:r>
    </w:p>
    <w:p>
      <w:pPr>
        <w:pStyle w:val="FirstParagraph"/>
      </w:pPr>
      <w:r>
        <w:t xml:space="preserve">После отработки программы получаем результат (</w:t>
      </w:r>
      <w:r>
        <w:t xml:space="preserve">[рис.</w:t>
      </w:r>
      <w:r>
        <w:t xml:space="preserve"> </w:t>
      </w:r>
      <w:r>
        <w:rPr>
          <w:b/>
          <w:bCs/>
        </w:rPr>
        <w:t xml:space="preserve">fig-001?</w:t>
      </w:r>
      <w:r>
        <w:t xml:space="preserve">]</w:t>
      </w:r>
      <w:r>
        <w:t xml:space="preserve">).</w:t>
      </w:r>
    </w:p>
    <w:bookmarkStart w:id="15" w:name="fig-001"/>
    <w:p>
      <w:pPr>
        <w:pStyle w:val="CaptionedFigure"/>
      </w:pPr>
      <w:r>
        <w:drawing>
          <wp:inline>
            <wp:extent cx="1310853" cy="780117"/>
            <wp:effectExtent b="0" l="0" r="0" t="0"/>
            <wp:docPr descr="Результат работы шифра Цезаря" title="" id="13" name="Picture"/>
            <a:graphic>
              <a:graphicData uri="http://schemas.openxmlformats.org/drawingml/2006/picture">
                <pic:pic>
                  <pic:nvPicPr>
                    <pic:cNvPr descr="image/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0853" cy="7801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 работы шифра Цезаря</w:t>
      </w:r>
    </w:p>
    <w:bookmarkEnd w:id="15"/>
    <w:p>
      <w:pPr>
        <w:pStyle w:val="BodyText"/>
      </w:pPr>
      <w:r>
        <w:t xml:space="preserve">Шифр Атбаш является шифром сдвига на всю длину алфавита.</w:t>
      </w:r>
      <w:r>
        <w:t xml:space="preserve"> </w:t>
      </w:r>
      <w:r>
        <w:t xml:space="preserve">Поэтому реализация будет выглядеть следующим образом: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atbash</w:t>
      </w:r>
      <w:r>
        <w:rPr>
          <w:rStyle w:val="NormalTok"/>
        </w:rPr>
        <w:t xml:space="preserve">(word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Char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br/>
      </w:r>
      <w:r>
        <w:rPr>
          <w:rStyle w:val="NormalTok"/>
        </w:rPr>
        <w:t xml:space="preserve">                (</w:t>
      </w:r>
      <w:r>
        <w:rPr>
          <w:rStyle w:val="FunctionTok"/>
        </w:rPr>
        <w:t xml:space="preserve">Int</w:t>
      </w:r>
      <w:r>
        <w:rPr>
          <w:rStyle w:val="NormalTok"/>
        </w:rPr>
        <w:t xml:space="preserve">(</w:t>
      </w:r>
      <w:r>
        <w:rPr>
          <w:rStyle w:val="CharTok"/>
        </w:rPr>
        <w:t xml:space="preserve">'z'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Int</w:t>
      </w:r>
      <w:r>
        <w:rPr>
          <w:rStyle w:val="NormalTok"/>
        </w:rPr>
        <w:t xml:space="preserve">(c)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</w:t>
      </w:r>
      <w:r>
        <w:rPr>
          <w:rStyle w:val="NormalTok"/>
        </w:rPr>
        <w:t xml:space="preserve">(</w:t>
      </w:r>
      <w:r>
        <w:rPr>
          <w:rStyle w:val="CharTok"/>
        </w:rPr>
        <w:t xml:space="preserve">'a'</w:t>
      </w:r>
      <w:r>
        <w:rPr>
          <w:rStyle w:val="NormalTok"/>
        </w:rPr>
        <w:t xml:space="preserve">)))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br/>
      </w:r>
      <w:r>
        <w:rPr>
          <w:rStyle w:val="NormalTok"/>
        </w:rPr>
        <w:t xml:space="preserve">                (</w:t>
      </w:r>
      <w:r>
        <w:rPr>
          <w:rStyle w:val="FunctionTok"/>
        </w:rPr>
        <w:t xml:space="preserve">Int</w:t>
      </w:r>
      <w:r>
        <w:rPr>
          <w:rStyle w:val="NormalTok"/>
        </w:rPr>
        <w:t xml:space="preserve">(</w:t>
      </w:r>
      <w:r>
        <w:rPr>
          <w:rStyle w:val="CharTok"/>
        </w:rPr>
        <w:t xml:space="preserve">'Z'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Int</w:t>
      </w:r>
      <w:r>
        <w:rPr>
          <w:rStyle w:val="NormalTok"/>
        </w:rPr>
        <w:t xml:space="preserve">(c)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</w:t>
      </w:r>
      <w:r>
        <w:rPr>
          <w:rStyle w:val="NormalTok"/>
        </w:rPr>
        <w:t xml:space="preserve">(</w:t>
      </w:r>
      <w:r>
        <w:rPr>
          <w:rStyle w:val="CharTok"/>
        </w:rPr>
        <w:t xml:space="preserve">'A'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Int</w:t>
      </w:r>
      <w:r>
        <w:rPr>
          <w:rStyle w:val="NormalTok"/>
        </w:rPr>
        <w:t xml:space="preserve">(c)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word)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your word: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readline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atbash</w:t>
      </w:r>
      <w:r>
        <w:rPr>
          <w:rStyle w:val="NormalTok"/>
        </w:rPr>
        <w:t xml:space="preserve">(word))</w:t>
      </w:r>
    </w:p>
    <w:p>
      <w:pPr>
        <w:pStyle w:val="FirstParagraph"/>
      </w:pPr>
      <w:r>
        <w:t xml:space="preserve">После отработки программы получаем результат (</w:t>
      </w:r>
      <w:r>
        <w:t xml:space="preserve">[рис.</w:t>
      </w:r>
      <w:r>
        <w:t xml:space="preserve"> </w:t>
      </w:r>
      <w:r>
        <w:rPr>
          <w:b/>
          <w:bCs/>
        </w:rPr>
        <w:t xml:space="preserve">fig-002?</w:t>
      </w:r>
      <w:r>
        <w:t xml:space="preserve">]</w:t>
      </w:r>
      <w:r>
        <w:t xml:space="preserve">).</w:t>
      </w:r>
    </w:p>
    <w:bookmarkStart w:id="19" w:name="fig-002"/>
    <w:p>
      <w:pPr>
        <w:pStyle w:val="CaptionedFigure"/>
      </w:pPr>
      <w:r>
        <w:drawing>
          <wp:inline>
            <wp:extent cx="1349219" cy="575496"/>
            <wp:effectExtent b="0" l="0" r="0" t="0"/>
            <wp:docPr descr="Результат работы шифра Атбаш" title="" id="17" name="Picture"/>
            <a:graphic>
              <a:graphicData uri="http://schemas.openxmlformats.org/drawingml/2006/picture">
                <pic:pic>
                  <pic:nvPicPr>
                    <pic:cNvPr descr="image/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9219" cy="575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 работы шифра Атбаш</w:t>
      </w:r>
    </w:p>
    <w:bookmarkEnd w:id="19"/>
    <w:bookmarkEnd w:id="20"/>
    <w:bookmarkStart w:id="21" w:name="вывод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результате выполнения данной лабораторной работы были изучены и реализованы шифры простой замены (шифр Цезаря и шифр Атбаш).</w:t>
      </w:r>
    </w:p>
    <w:bookmarkEnd w:id="21"/>
    <w:bookmarkStart w:id="23" w:name="список-литературы"/>
    <w:p>
      <w:pPr>
        <w:pStyle w:val="Heading1"/>
      </w:pPr>
      <w:r>
        <w:t xml:space="preserve">Список литературы</w:t>
      </w:r>
    </w:p>
    <w:bookmarkStart w:id="22" w:name="refs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</dc:title>
  <dc:creator>Шуваев Сергей Александрович</dc:creator>
  <dc:language>ru-RU</dc:language>
  <cp:keywords/>
  <dcterms:created xsi:type="dcterms:W3CDTF">2026-09-11T19:05:11Z</dcterms:created>
  <dcterms:modified xsi:type="dcterms:W3CDTF">2026-09-11T19:05:11Z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DisplayTemplate">
    <vt:lpwstr>e</vt:lpwstr>
  </property>
  <property fmtid="{D5CDD505-2E9C-101B-9397-08002B2CF9AE}" pid="25" name="eqnIndexTemplate">
    <vt:lpwstr>(i)</vt:lpwstr>
  </property>
  <property fmtid="{D5CDD505-2E9C-101B-9397-08002B2CF9AE}" pid="26" name="eqnInlineTableTemplate">
    <vt:lpwstr>e</vt:lpwstr>
  </property>
  <property fmtid="{D5CDD505-2E9C-101B-9397-08002B2CF9AE}" pid="27" name="eqnInlineTemplate">
    <vt:lpwstr>eequationNumberTeX{i}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equationNumberTeX">
    <vt:lpwstr>\qquad</vt:lpwstr>
  </property>
  <property fmtid="{D5CDD505-2E9C-101B-9397-08002B2CF9AE}" pid="31" name="figLabels">
    <vt:lpwstr>arabic</vt:lpwstr>
  </property>
  <property fmtid="{D5CDD505-2E9C-101B-9397-08002B2CF9AE}" pid="32" name="figPrefix">
    <vt:lpwstr/>
  </property>
  <property fmtid="{D5CDD505-2E9C-101B-9397-08002B2CF9AE}" pid="33" name="figPrefixTemplate">
    <vt:lpwstr>p i</vt:lpwstr>
  </property>
  <property fmtid="{D5CDD505-2E9C-101B-9397-08002B2CF9AE}" pid="34" name="figureTemplate">
    <vt:lpwstr>figureTitle ititleDelim t</vt:lpwstr>
  </property>
  <property fmtid="{D5CDD505-2E9C-101B-9397-08002B2CF9AE}" pid="35" name="figureTitle">
    <vt:lpwstr>Рис.</vt:lpwstr>
  </property>
  <property fmtid="{D5CDD505-2E9C-101B-9397-08002B2CF9AE}" pid="36" name="fontsize">
    <vt:lpwstr>12pt</vt:lpwstr>
  </property>
  <property fmtid="{D5CDD505-2E9C-101B-9397-08002B2CF9AE}" pid="37" name="header-includes">
    <vt:lpwstr/>
  </property>
  <property fmtid="{D5CDD505-2E9C-101B-9397-08002B2CF9AE}" pid="38" name="indent">
    <vt:lpwstr>True</vt:lpwstr>
  </property>
  <property fmtid="{D5CDD505-2E9C-101B-9397-08002B2CF9AE}" pid="39" name="lastDelim">
    <vt:lpwstr>, </vt:lpwstr>
  </property>
  <property fmtid="{D5CDD505-2E9C-101B-9397-08002B2CF9AE}" pid="40" name="linestretch">
    <vt:lpwstr>1.5</vt:lpwstr>
  </property>
  <property fmtid="{D5CDD505-2E9C-101B-9397-08002B2CF9AE}" pid="41" name="linkReferences">
    <vt:lpwstr>False</vt:lpwstr>
  </property>
  <property fmtid="{D5CDD505-2E9C-101B-9397-08002B2CF9AE}" pid="42" name="listItemTitleDelim">
    <vt:lpwstr>.</vt:lpwstr>
  </property>
  <property fmtid="{D5CDD505-2E9C-101B-9397-08002B2CF9AE}" pid="43" name="listOfMetadata">
    <vt:lpwstr>False</vt:lpwstr>
  </property>
  <property fmtid="{D5CDD505-2E9C-101B-9397-08002B2CF9AE}" pid="44" name="listingTemplate">
    <vt:lpwstr>listingTitle ititleDelim t</vt:lpwstr>
  </property>
  <property fmtid="{D5CDD505-2E9C-101B-9397-08002B2CF9AE}" pid="45" name="listingTitle">
    <vt:lpwstr>Листинг</vt:lpwstr>
  </property>
  <property fmtid="{D5CDD505-2E9C-101B-9397-08002B2CF9AE}" pid="46" name="listings">
    <vt:lpwstr>False</vt:lpwstr>
  </property>
  <property fmtid="{D5CDD505-2E9C-101B-9397-08002B2CF9AE}" pid="47" name="lof">
    <vt:lpwstr>True</vt:lpwstr>
  </property>
  <property fmtid="{D5CDD505-2E9C-101B-9397-08002B2CF9AE}" pid="48" name="lofItemTemplate">
    <vt:lpwstr>lofItemTitleilistItemTitleDelimt </vt:lpwstr>
  </property>
  <property fmtid="{D5CDD505-2E9C-101B-9397-08002B2CF9AE}" pid="49" name="lofItemTitle">
    <vt:lpwstr/>
  </property>
  <property fmtid="{D5CDD505-2E9C-101B-9397-08002B2CF9AE}" pid="50" name="lofTitle">
    <vt:lpwstr>Список иллюстраций</vt:lpwstr>
  </property>
  <property fmtid="{D5CDD505-2E9C-101B-9397-08002B2CF9AE}" pid="51" name="lolItemTemplate">
    <vt:lpwstr>lolItemTitleilistItemTitleDelimt </vt:lpwstr>
  </property>
  <property fmtid="{D5CDD505-2E9C-101B-9397-08002B2CF9AE}" pid="52" name="lolItemTitle">
    <vt:lpwstr/>
  </property>
  <property fmtid="{D5CDD505-2E9C-101B-9397-08002B2CF9AE}" pid="53" name="lolTitle">
    <vt:lpwstr>Листинги</vt:lpwstr>
  </property>
  <property fmtid="{D5CDD505-2E9C-101B-9397-08002B2CF9AE}" pid="54" name="lot">
    <vt:lpwstr>False</vt:lpwstr>
  </property>
  <property fmtid="{D5CDD505-2E9C-101B-9397-08002B2CF9AE}" pid="55" name="lotItemTemplate">
    <vt:lpwstr>lotItemTitleilistItemTitleDelimt </vt:lpwstr>
  </property>
  <property fmtid="{D5CDD505-2E9C-101B-9397-08002B2CF9AE}" pid="56" name="lotItemTitle">
    <vt:lpwstr/>
  </property>
  <property fmtid="{D5CDD505-2E9C-101B-9397-08002B2CF9AE}" pid="57" name="lotTitle">
    <vt:lpwstr>Список таблиц</vt:lpwstr>
  </property>
  <property fmtid="{D5CDD505-2E9C-101B-9397-08002B2CF9AE}" pid="58" name="lstLabels">
    <vt:lpwstr>arabic</vt:lpwstr>
  </property>
  <property fmtid="{D5CDD505-2E9C-101B-9397-08002B2CF9AE}" pid="59" name="lstPrefix">
    <vt:lpwstr/>
  </property>
  <property fmtid="{D5CDD505-2E9C-101B-9397-08002B2CF9AE}" pid="60" name="lstPrefixTemplate">
    <vt:lpwstr>p i</vt:lpwstr>
  </property>
  <property fmtid="{D5CDD505-2E9C-101B-9397-08002B2CF9AE}" pid="61" name="mainfont">
    <vt:lpwstr>IBM Plex Serif</vt:lpwstr>
  </property>
  <property fmtid="{D5CDD505-2E9C-101B-9397-08002B2CF9AE}" pid="62" name="mainfontoptions">
    <vt:lpwstr>Ligatures=Common,Ligatures=TeX,Scale=0.94</vt:lpwstr>
  </property>
  <property fmtid="{D5CDD505-2E9C-101B-9397-08002B2CF9AE}" pid="63" name="mathfont">
    <vt:lpwstr>STIX Two Math</vt:lpwstr>
  </property>
  <property fmtid="{D5CDD505-2E9C-101B-9397-08002B2CF9AE}" pid="64" name="mathfontoptions">
    <vt:lpwstr/>
  </property>
  <property fmtid="{D5CDD505-2E9C-101B-9397-08002B2CF9AE}" pid="65" name="monofont">
    <vt:lpwstr>IBM Plex Mono</vt:lpwstr>
  </property>
  <property fmtid="{D5CDD505-2E9C-101B-9397-08002B2CF9AE}" pid="66" name="monofontoptions">
    <vt:lpwstr>Scale=MatchLowercase,Scale=0.94,FakeStretch=0.9</vt:lpwstr>
  </property>
  <property fmtid="{D5CDD505-2E9C-101B-9397-08002B2CF9AE}" pid="67" name="nameInLink">
    <vt:lpwstr>False</vt:lpwstr>
  </property>
  <property fmtid="{D5CDD505-2E9C-101B-9397-08002B2CF9AE}" pid="68" name="numberSections">
    <vt:lpwstr>False</vt:lpwstr>
  </property>
  <property fmtid="{D5CDD505-2E9C-101B-9397-08002B2CF9AE}" pid="69" name="pairDelim">
    <vt:lpwstr>, </vt:lpwstr>
  </property>
  <property fmtid="{D5CDD505-2E9C-101B-9397-08002B2CF9AE}" pid="70" name="papersize">
    <vt:lpwstr>a4</vt:lpwstr>
  </property>
  <property fmtid="{D5CDD505-2E9C-101B-9397-08002B2CF9AE}" pid="71" name="polyglossia-lang">
    <vt:lpwstr/>
  </property>
  <property fmtid="{D5CDD505-2E9C-101B-9397-08002B2CF9AE}" pid="72" name="polyglossia-otherlangs">
    <vt:lpwstr/>
  </property>
  <property fmtid="{D5CDD505-2E9C-101B-9397-08002B2CF9AE}" pid="73" name="rangeDelim">
    <vt:lpwstr>-</vt:lpwstr>
  </property>
  <property fmtid="{D5CDD505-2E9C-101B-9397-08002B2CF9AE}" pid="74" name="refDelim">
    <vt:lpwstr>, </vt:lpwstr>
  </property>
  <property fmtid="{D5CDD505-2E9C-101B-9397-08002B2CF9AE}" pid="75" name="refIndexTemplate">
    <vt:lpwstr>isuf</vt:lpwstr>
  </property>
  <property fmtid="{D5CDD505-2E9C-101B-9397-08002B2CF9AE}" pid="76" name="romanfont">
    <vt:lpwstr>IBM Plex Serif</vt:lpwstr>
  </property>
  <property fmtid="{D5CDD505-2E9C-101B-9397-08002B2CF9AE}" pid="77" name="romanfontoptions">
    <vt:lpwstr>Ligatures=Common,Ligatures=TeX,Scale=0.94</vt:lpwstr>
  </property>
  <property fmtid="{D5CDD505-2E9C-101B-9397-08002B2CF9AE}" pid="78" name="sansfont">
    <vt:lpwstr>IBM Plex Sans</vt:lpwstr>
  </property>
  <property fmtid="{D5CDD505-2E9C-101B-9397-08002B2CF9AE}" pid="79" name="sansfontoptions">
    <vt:lpwstr>Ligatures=Common,Ligatures=TeX,Scale=MatchLowercase,Scale=0.94</vt:lpwstr>
  </property>
  <property fmtid="{D5CDD505-2E9C-101B-9397-08002B2CF9AE}" pid="80" name="secHeaderDelim">
    <vt:lpwstr> </vt:lpwstr>
  </property>
  <property fmtid="{D5CDD505-2E9C-101B-9397-08002B2CF9AE}" pid="81" name="secHeaderTemplate">
    <vt:lpwstr>isecHeaderDelim[n]t</vt:lpwstr>
  </property>
  <property fmtid="{D5CDD505-2E9C-101B-9397-08002B2CF9AE}" pid="82" name="secLabels">
    <vt:lpwstr>arabic</vt:lpwstr>
  </property>
  <property fmtid="{D5CDD505-2E9C-101B-9397-08002B2CF9AE}" pid="83" name="secPrefix">
    <vt:lpwstr/>
  </property>
  <property fmtid="{D5CDD505-2E9C-101B-9397-08002B2CF9AE}" pid="84" name="secPrefixTemplate">
    <vt:lpwstr>p i</vt:lpwstr>
  </property>
  <property fmtid="{D5CDD505-2E9C-101B-9397-08002B2CF9AE}" pid="85" name="sectionsDepth">
    <vt:lpwstr>0</vt:lpwstr>
  </property>
  <property fmtid="{D5CDD505-2E9C-101B-9397-08002B2CF9AE}" pid="86" name="subfigGrid">
    <vt:lpwstr>False</vt:lpwstr>
  </property>
  <property fmtid="{D5CDD505-2E9C-101B-9397-08002B2CF9AE}" pid="87" name="subfigLabels">
    <vt:lpwstr>alpha a</vt:lpwstr>
  </property>
  <property fmtid="{D5CDD505-2E9C-101B-9397-08002B2CF9AE}" pid="88" name="subfigureChildTemplate">
    <vt:lpwstr>i</vt:lpwstr>
  </property>
  <property fmtid="{D5CDD505-2E9C-101B-9397-08002B2CF9AE}" pid="89" name="subfigureRefIndexTemplate">
    <vt:lpwstr>isuf (s)</vt:lpwstr>
  </property>
  <property fmtid="{D5CDD505-2E9C-101B-9397-08002B2CF9AE}" pid="90" name="subfigureTemplate">
    <vt:lpwstr>figureTitle ititleDelim t. ccs</vt:lpwstr>
  </property>
  <property fmtid="{D5CDD505-2E9C-101B-9397-08002B2CF9AE}" pid="91" name="subtitle">
    <vt:lpwstr>Шифры простой замены</vt:lpwstr>
  </property>
  <property fmtid="{D5CDD505-2E9C-101B-9397-08002B2CF9AE}" pid="92" name="tableEqns">
    <vt:lpwstr>False</vt:lpwstr>
  </property>
  <property fmtid="{D5CDD505-2E9C-101B-9397-08002B2CF9AE}" pid="93" name="tableTemplate">
    <vt:lpwstr>tableTitle ititleDelim t</vt:lpwstr>
  </property>
  <property fmtid="{D5CDD505-2E9C-101B-9397-08002B2CF9AE}" pid="94" name="tableTitle">
    <vt:lpwstr>Таблица</vt:lpwstr>
  </property>
  <property fmtid="{D5CDD505-2E9C-101B-9397-08002B2CF9AE}" pid="95" name="tblLabels">
    <vt:lpwstr>arabic</vt:lpwstr>
  </property>
  <property fmtid="{D5CDD505-2E9C-101B-9397-08002B2CF9AE}" pid="96" name="tblPrefix">
    <vt:lpwstr/>
  </property>
  <property fmtid="{D5CDD505-2E9C-101B-9397-08002B2CF9AE}" pid="97" name="tblPrefixTemplate">
    <vt:lpwstr>p i</vt:lpwstr>
  </property>
  <property fmtid="{D5CDD505-2E9C-101B-9397-08002B2CF9AE}" pid="98" name="titleDelim">
    <vt:lpwstr>:</vt:lpwstr>
  </property>
  <property fmtid="{D5CDD505-2E9C-101B-9397-08002B2CF9AE}" pid="99" name="toc">
    <vt:lpwstr>True</vt:lpwstr>
  </property>
  <property fmtid="{D5CDD505-2E9C-101B-9397-08002B2CF9AE}" pid="100" name="toc-depth">
    <vt:lpwstr>2</vt:lpwstr>
  </property>
  <property fmtid="{D5CDD505-2E9C-101B-9397-08002B2CF9AE}" pid="101" name="toc-title">
    <vt:lpwstr>Содержание</vt:lpwstr>
  </property>
</Properties>
</file>