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2942984" cy="1483018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r>
        <w:drawing>
          <wp:inline>
            <wp:extent cx="3733800" cy="3217374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r>
        <w:drawing>
          <wp:inline>
            <wp:extent cx="3733800" cy="2837222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r>
        <w:drawing>
          <wp:inline>
            <wp:extent cx="2059321" cy="799139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r>
        <w:drawing>
          <wp:inline>
            <wp:extent cx="3733800" cy="213890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3714671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40272</w:t>
      </w:r>
      <w:r>
        <w:br/>
      </w:r>
      <w:r>
        <w:rPr>
          <w:rStyle w:val="VerbatimChar"/>
        </w:rPr>
        <w:t xml:space="preserve">     Arcs:   687943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21187</w:t>
      </w:r>
      <w:r>
        <w:br/>
      </w:r>
      <w:r>
        <w:rPr>
          <w:rStyle w:val="VerbatimChar"/>
        </w:rPr>
        <w:t xml:space="preserve">     Arcs:   580453</w:t>
      </w:r>
      <w:r>
        <w:br/>
      </w:r>
      <w:r>
        <w:rPr>
          <w:rStyle w:val="VerbatimChar"/>
        </w:rPr>
        <w:t xml:space="preserve">     Secs:   6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23         0</w:t>
      </w:r>
      <w:r>
        <w:br/>
      </w:r>
      <w:r>
        <w:rPr>
          <w:rStyle w:val="VerbatimChar"/>
        </w:rPr>
        <w:t xml:space="preserve">     main'B 1                11         0</w:t>
      </w:r>
      <w:r>
        <w:br/>
      </w:r>
      <w:r>
        <w:rPr>
          <w:rStyle w:val="VerbatimChar"/>
        </w:rPr>
        <w:t xml:space="preserve">     main'C 1                7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main'Receiver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23`(1,"Modellin")++</w:t>
      </w:r>
      <w:r>
        <w:br/>
      </w:r>
      <w:r>
        <w:rPr>
          <w:rStyle w:val="VerbatimChar"/>
        </w:rPr>
        <w:t xml:space="preserve">17`(2,"g and An")++</w:t>
      </w:r>
      <w:r>
        <w:br/>
      </w:r>
      <w:r>
        <w:rPr>
          <w:rStyle w:val="VerbatimChar"/>
        </w:rPr>
        <w:t xml:space="preserve">12`(3,"alysis b")++</w:t>
      </w:r>
      <w:r>
        <w:br/>
      </w:r>
      <w:r>
        <w:rPr>
          <w:rStyle w:val="VerbatimChar"/>
        </w:rPr>
        <w:t xml:space="preserve">7`(4,"y Means ")++</w:t>
      </w:r>
      <w:r>
        <w:br/>
      </w:r>
      <w:r>
        <w:rPr>
          <w:rStyle w:val="VerbatimChar"/>
        </w:rPr>
        <w:t xml:space="preserve">2`(5,"of Colou")</w:t>
      </w:r>
      <w:r>
        <w:br/>
      </w:r>
      <w:r>
        <w:rPr>
          <w:rStyle w:val="VerbatimChar"/>
        </w:rPr>
        <w:t xml:space="preserve">     main'B 1            11`(1,"Modellin")++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6`(3,"alysis b")++</w:t>
      </w:r>
      <w:r>
        <w:br/>
      </w:r>
      <w:r>
        <w:rPr>
          <w:rStyle w:val="VerbatimChar"/>
        </w:rPr>
        <w:t xml:space="preserve">3`(4,"y Means 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main'C 1            7`2++</w:t>
      </w:r>
      <w:r>
        <w:br/>
      </w:r>
      <w:r>
        <w:rPr>
          <w:rStyle w:val="VerbatimChar"/>
        </w:rPr>
        <w:t xml:space="preserve">6`3++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main'Receiver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main'Receiver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14292 [40272,40271,40270,40269,40268,...]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r>
        <w:drawing>
          <wp:inline>
            <wp:extent cx="3733800" cy="1908789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Шуваев Сергей Александрович</dc:creator>
  <dc:language>ru-RU</dc:language>
  <cp:keywords/>
  <dcterms:created xsi:type="dcterms:W3CDTF">2025-04-17T18:05:37Z</dcterms:created>
  <dcterms:modified xsi:type="dcterms:W3CDTF">2025-04-17T18:05:37Z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