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r>
        <w:drawing>
          <wp:inline>
            <wp:extent cx="3733800" cy="2862579"/>
            <wp:effectExtent b="0" l="0" r="0" t="0"/>
            <wp:docPr descr="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r>
        <w:drawing>
          <wp:inline>
            <wp:extent cx="1775011" cy="1114184"/>
            <wp:effectExtent b="0" l="0" r="0" t="0"/>
            <wp:docPr descr="Декларации модели «Накорми студентов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756496"/>
            <wp:effectExtent b="0" l="0" r="0" t="0"/>
            <wp:docPr descr="Модель «Накорми студентов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r>
        <w:drawing>
          <wp:inline>
            <wp:extent cx="3733800" cy="2712589"/>
            <wp:effectExtent b="0" l="0" r="0" t="0"/>
            <wp:docPr descr="Запуск модели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Start w:id="39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FirstParagraph"/>
      </w:pPr>
      <w:r>
        <w:t xml:space="preserve">Отчет:</w:t>
      </w:r>
    </w:p>
    <w:p>
      <w:pPr>
        <w:pStyle w:val="CaptionedFigure"/>
      </w:pPr>
      <w:r>
        <w:drawing>
          <wp:inline>
            <wp:extent cx="3733800" cy="4711419"/>
            <wp:effectExtent b="0" l="0" r="0" t="0"/>
            <wp:docPr descr="отче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</w:t>
      </w:r>
    </w:p>
    <w:p>
      <w:pPr>
        <w:pStyle w:val="BodyText"/>
      </w:pPr>
      <w:r>
        <w:t xml:space="preserve">Построим граф пространства состояний:</w:t>
      </w:r>
    </w:p>
    <w:p>
      <w:pPr>
        <w:pStyle w:val="CaptionedFigure"/>
      </w:pPr>
      <w:r>
        <w:drawing>
          <wp:inline>
            <wp:extent cx="3733800" cy="2267748"/>
            <wp:effectExtent b="0" l="0" r="0" t="0"/>
            <wp:docPr descr="Пространство состояний для модели «Накорми студентов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Пространство состояний для модели «Накорми студентов»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Шуваев Сергей александрович</dc:creator>
  <dc:language>ru-RU</dc:language>
  <cp:keywords/>
  <dcterms:created xsi:type="dcterms:W3CDTF">2025-03-31T11:15:40Z</dcterms:created>
  <dcterms:modified xsi:type="dcterms:W3CDTF">2025-03-31T11:15:40Z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«Накорми студентов»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