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 с правилами.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provider-gw-1 (рис. 1).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4583003"/>
            <wp:effectExtent b="0" l="0" r="0" t="0"/>
            <wp:docPr descr="Первоначальная настройка маршрутизатора provider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provider-gw-1</w:t>
      </w:r>
    </w:p>
    <w:p>
      <w:pPr>
        <w:pStyle w:val="BodyText"/>
      </w:pPr>
      <w:r>
        <w:t xml:space="preserve">Проведем первоначальную настройку коммутатора provider-sw-1 (рис. 2).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2374313"/>
            <wp:effectExtent b="0" l="0" r="0" t="0"/>
            <wp:docPr descr="Первоначальная настройка коммутатора provider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коммутатора provider-sw-1</w:t>
      </w:r>
    </w:p>
    <w:p>
      <w:pPr>
        <w:pStyle w:val="BodyText"/>
      </w:pPr>
      <w:r>
        <w:t xml:space="preserve">Проведем настройку интерфейсов маршрутизатора provider-gw-1 (рис. 3). Поднимем интерфейс f0/0, создадим интерфейс f0/0.4 для 4 vlan и зададим ip-адрес, поднимем интерфейс f0/1.</w:t>
      </w:r>
    </w:p>
    <w:p>
      <w:pPr>
        <w:pStyle w:val="CaptionedFigure"/>
      </w:pPr>
      <w:r>
        <w:drawing>
          <wp:inline>
            <wp:extent cx="3733800" cy="3491676"/>
            <wp:effectExtent b="0" l="0" r="0" t="0"/>
            <wp:docPr descr="Настройка интерфейсов маршрутизатора provider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provider-gw-1</w:t>
      </w:r>
    </w:p>
    <w:p>
      <w:pPr>
        <w:pStyle w:val="BodyText"/>
      </w:pPr>
      <w:r>
        <w:t xml:space="preserve">Проведем настройку интерфейсов коммутатора provider-sw-1 (рис. 4). Сделаем порты f0/1 и f0/2 транковыми, зададим 4 vlan с именем nat.</w:t>
      </w:r>
    </w:p>
    <w:p>
      <w:pPr>
        <w:pStyle w:val="CaptionedFigure"/>
      </w:pPr>
      <w:r>
        <w:drawing>
          <wp:inline>
            <wp:extent cx="3733800" cy="3184879"/>
            <wp:effectExtent b="0" l="0" r="0" t="0"/>
            <wp:docPr descr="Настройка интерфейсов коммутатора provider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provider-sw-1</w:t>
      </w:r>
    </w:p>
    <w:p>
      <w:pPr>
        <w:pStyle w:val="BodyText"/>
      </w:pPr>
      <w:r>
        <w:t xml:space="preserve">Проведем настройку интерфейсов маршрутизатора msk-donskaya-gw-1 (рис. 5). Поднимем интерфейс f0/1, создадим интерфейс f0/1.4 для 4 vlan и зададим ip-адрес.</w:t>
      </w:r>
    </w:p>
    <w:p>
      <w:pPr>
        <w:pStyle w:val="CaptionedFigure"/>
      </w:pPr>
      <w:r>
        <w:drawing>
          <wp:inline>
            <wp:extent cx="3733800" cy="3271110"/>
            <wp:effectExtent b="0" l="0" r="0" t="0"/>
            <wp:docPr descr="Настройка интерфейсов маршрутизатора msk-donskaya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msk-donskaya-gw-1</w:t>
      </w:r>
    </w:p>
    <w:p>
      <w:pPr>
        <w:pStyle w:val="BodyText"/>
      </w:pPr>
      <w:r>
        <w:t xml:space="preserve">Проверим доступ с маршрутизатора на Донской к маршрутизатору провайдера (рис. 6).</w:t>
      </w:r>
    </w:p>
    <w:p>
      <w:pPr>
        <w:pStyle w:val="CaptionedFigure"/>
      </w:pPr>
      <w:r>
        <w:drawing>
          <wp:inline>
            <wp:extent cx="3733800" cy="775620"/>
            <wp:effectExtent b="0" l="0" r="0" t="0"/>
            <wp:docPr descr="Проверка доступности маршрутиза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маршрутизатора</w:t>
      </w:r>
    </w:p>
    <w:p>
      <w:pPr>
        <w:pStyle w:val="BodyText"/>
      </w:pPr>
      <w:r>
        <w:t xml:space="preserve">Настроим пул адресов 198.51.100.2 – 198.51.100.14 для NAT (рис. 7).</w:t>
      </w:r>
    </w:p>
    <w:p>
      <w:pPr>
        <w:pStyle w:val="CaptionedFigure"/>
      </w:pPr>
      <w:r>
        <w:drawing>
          <wp:inline>
            <wp:extent cx="3733800" cy="312370"/>
            <wp:effectExtent b="0" l="0" r="0" t="0"/>
            <wp:docPr descr="Настройка пула адресов для NA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пула адресов для NAT</w:t>
      </w:r>
    </w:p>
    <w:p>
      <w:pPr>
        <w:pStyle w:val="BodyText"/>
      </w:pPr>
      <w:r>
        <w:t xml:space="preserve">Теперь настроим список доступа к nat на всех подсетях для пользователей(рис. 9).</w:t>
      </w:r>
    </w:p>
    <w:p>
      <w:pPr>
        <w:pStyle w:val="CaptionedFigure"/>
      </w:pPr>
      <w:r>
        <w:drawing>
          <wp:inline>
            <wp:extent cx="3733800" cy="869268"/>
            <wp:effectExtent b="0" l="0" r="0" t="0"/>
            <wp:docPr descr="Настройка списка доступа для NA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списка доступа для NAT</w:t>
      </w:r>
    </w:p>
    <w:p>
      <w:pPr>
        <w:pStyle w:val="BodyText"/>
      </w:pPr>
      <w:r>
        <w:t xml:space="preserve">Настроим Port Address Translation (PAT) на субинтерфейсах маршрутизатора с территории Донская (рис. 9).</w:t>
      </w:r>
    </w:p>
    <w:p>
      <w:pPr>
        <w:pStyle w:val="CaptionedFigure"/>
      </w:pPr>
      <w:r>
        <w:drawing>
          <wp:inline>
            <wp:extent cx="3733800" cy="2681601"/>
            <wp:effectExtent b="0" l="0" r="0" t="0"/>
            <wp:docPr descr="Настройка NA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NAT</w:t>
      </w:r>
    </w:p>
    <w:p>
      <w:pPr>
        <w:pStyle w:val="BodyText"/>
      </w:pPr>
      <w:r>
        <w:t xml:space="preserve">Проверка доступности к маршрутизаторам от ноутбука админ (рис. 9).</w:t>
      </w:r>
    </w:p>
    <w:p>
      <w:pPr>
        <w:pStyle w:val="CaptionedFigure"/>
      </w:pPr>
      <w:r>
        <w:drawing>
          <wp:inline>
            <wp:extent cx="3733800" cy="3699701"/>
            <wp:effectExtent b="0" l="0" r="0" t="0"/>
            <wp:docPr descr="Проверка доступности маршрутизатор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доступности маршрутизаторов</w:t>
      </w:r>
    </w:p>
    <w:p>
      <w:pPr>
        <w:pStyle w:val="BodyText"/>
      </w:pPr>
      <w:r>
        <w:t xml:space="preserve">Настроим доступа из Интернета (рис. 11).</w:t>
      </w:r>
    </w:p>
    <w:p>
      <w:pPr>
        <w:pStyle w:val="CaptionedFigure"/>
      </w:pPr>
      <w:r>
        <w:drawing>
          <wp:inline>
            <wp:extent cx="3733800" cy="786538"/>
            <wp:effectExtent b="0" l="0" r="0" t="0"/>
            <wp:docPr descr="Настройка доступа из Интерне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доступа из Интернета</w:t>
      </w:r>
    </w:p>
    <w:p>
      <w:pPr>
        <w:pStyle w:val="BodyText"/>
      </w:pPr>
      <w:r>
        <w:t xml:space="preserve">Добавим ноутбук на территории Интернета (рис. 12).</w:t>
      </w:r>
    </w:p>
    <w:p>
      <w:pPr>
        <w:pStyle w:val="CaptionedFigure"/>
      </w:pPr>
      <w:r>
        <w:drawing>
          <wp:inline>
            <wp:extent cx="3733800" cy="1723575"/>
            <wp:effectExtent b="0" l="0" r="0" t="0"/>
            <wp:docPr descr="Добавление ноутбука на территорию Интернет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ноутбука на территорию Интернет</w:t>
      </w:r>
    </w:p>
    <w:p>
      <w:pPr>
        <w:pStyle w:val="BodyText"/>
      </w:pPr>
      <w:r>
        <w:t xml:space="preserve">Проверим работоспособность соединения из сети Интернет в сеть Донской к web-серверу и файловому серверу по ftp (рис. 13, 14).</w:t>
      </w:r>
    </w:p>
    <w:p>
      <w:pPr>
        <w:pStyle w:val="CaptionedFigure"/>
      </w:pPr>
      <w:r>
        <w:drawing>
          <wp:inline>
            <wp:extent cx="3733800" cy="3699439"/>
            <wp:effectExtent b="0" l="0" r="0" t="0"/>
            <wp:docPr descr="Проверка доступа из Интернета по ftp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доступа из Интернета по ftp</w:t>
      </w:r>
    </w:p>
    <w:p>
      <w:pPr>
        <w:pStyle w:val="CaptionedFigure"/>
      </w:pPr>
      <w:r>
        <w:drawing>
          <wp:inline>
            <wp:extent cx="3733800" cy="2100976"/>
            <wp:effectExtent b="0" l="0" r="0" t="0"/>
            <wp:docPr descr="Проверка доступа из Интернета к web-сервер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доступа из Интернета к web-серверу</w:t>
      </w:r>
    </w:p>
    <w:p>
      <w:pPr>
        <w:pStyle w:val="BodyText"/>
      </w:pPr>
      <w:r>
        <w:t xml:space="preserve">Проверим доступ к необходимым интернет-ресурсам конечных устройств сети. Убедимся, что устройствам доступны и недоступны заданные нами сайты(рис. 15 - 18).</w:t>
      </w:r>
    </w:p>
    <w:p>
      <w:pPr>
        <w:pStyle w:val="CaptionedFigure"/>
      </w:pPr>
      <w:r>
        <w:drawing>
          <wp:inline>
            <wp:extent cx="3733800" cy="1889948"/>
            <wp:effectExtent b="0" l="0" r="0" t="0"/>
            <wp:docPr descr="Доступ dep-donskaya-1 к 192.0.2.13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Доступ dep-donskaya-1 к 192.0.2.13</w:t>
      </w:r>
    </w:p>
    <w:p>
      <w:pPr>
        <w:pStyle w:val="CaptionedFigure"/>
      </w:pPr>
      <w:r>
        <w:drawing>
          <wp:inline>
            <wp:extent cx="3733800" cy="1875583"/>
            <wp:effectExtent b="0" l="0" r="0" t="0"/>
            <wp:docPr descr="Доступ dk-donskaya-1 к www.yandex.ru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Доступ dk-donskaya-1 к www.yandex.ru</w:t>
      </w:r>
    </w:p>
    <w:p>
      <w:pPr>
        <w:pStyle w:val="CaptionedFigure"/>
      </w:pPr>
      <w:r>
        <w:drawing>
          <wp:inline>
            <wp:extent cx="3733800" cy="1872626"/>
            <wp:effectExtent b="0" l="0" r="0" t="0"/>
            <wp:docPr descr="Доступ dk-donskaya-1 к stud.rudn.university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Доступ dk-donskaya-1 к stud.rudn.university</w:t>
      </w:r>
    </w:p>
    <w:p>
      <w:pPr>
        <w:pStyle w:val="CaptionedFigure"/>
      </w:pPr>
      <w:r>
        <w:drawing>
          <wp:inline>
            <wp:extent cx="3733800" cy="1852648"/>
            <wp:effectExtent b="0" l="0" r="0" t="0"/>
            <wp:docPr descr="Доступ adm-donskaya-1 к www.rudn.ru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Доступ adm-donskaya-1 к www.rudn.ru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практические навыки по настройке доступа локальной сети к внешней сети посредством NAT.</w:t>
      </w:r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pStyle w:val="FirstParagraph"/>
      </w:pPr>
      <w:r>
        <w:t xml:space="preserve">Идея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pStyle w:val="Compact"/>
        <w:numPr>
          <w:ilvl w:val="0"/>
          <w:numId w:val="1003"/>
        </w:numPr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pStyle w:val="Compact"/>
        <w:numPr>
          <w:ilvl w:val="0"/>
          <w:numId w:val="1004"/>
        </w:numPr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pStyle w:val="Compact"/>
        <w:numPr>
          <w:ilvl w:val="0"/>
          <w:numId w:val="1005"/>
        </w:numPr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pStyle w:val="Compact"/>
        <w:numPr>
          <w:ilvl w:val="0"/>
          <w:numId w:val="1006"/>
        </w:numPr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Шуваев Сергей Александрович</dc:creator>
  <dc:language>ru-RU</dc:language>
  <cp:keywords/>
  <dcterms:created xsi:type="dcterms:W3CDTF">2025-05-01T19:40:57Z</dcterms:created>
  <dcterms:modified xsi:type="dcterms:W3CDTF">2025-05-01T19:40:57Z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