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61" w:rsidRDefault="00094719" w:rsidP="00094719">
      <w:pPr>
        <w:pStyle w:val="Title"/>
      </w:pPr>
      <w:r>
        <w:t>Where should I live? An analysis of areas in major UK cities</w:t>
      </w:r>
    </w:p>
    <w:p w:rsidR="00094719" w:rsidRDefault="00094719" w:rsidP="00094719">
      <w:pPr>
        <w:pStyle w:val="Subtitle"/>
      </w:pPr>
      <w:r>
        <w:t>Applied Data Science Capstone Project</w:t>
      </w:r>
      <w:r w:rsidR="009408EE">
        <w:t xml:space="preserve"> – The Battle of Neighbourhoods</w:t>
      </w:r>
    </w:p>
    <w:p w:rsidR="00094719" w:rsidRDefault="00094719" w:rsidP="00094719">
      <w:pPr>
        <w:pStyle w:val="Heading1"/>
      </w:pPr>
      <w:r>
        <w:t>Introduction</w:t>
      </w:r>
    </w:p>
    <w:p w:rsidR="00094719" w:rsidRDefault="00503536" w:rsidP="00094719">
      <w:r>
        <w:t>It is well known that it is becoming increasingly difficult to afford a house in the UK.</w:t>
      </w:r>
      <w:hyperlink r:id="rId7" w:history="1">
        <w:r w:rsidRPr="00503536">
          <w:rPr>
            <w:rStyle w:val="Hyperlink"/>
            <w:vertAlign w:val="superscript"/>
          </w:rPr>
          <w:t>1</w:t>
        </w:r>
      </w:hyperlink>
      <w:r>
        <w:t xml:space="preserve"> This is particularly noticeable in southern cities such as Oxford (my curr</w:t>
      </w:r>
      <w:bookmarkStart w:id="0" w:name="_GoBack"/>
      <w:bookmarkEnd w:id="0"/>
      <w:r>
        <w:t>ent hometown), where the cost of living has been driven up significantly above the national average by a number of factors.</w:t>
      </w:r>
      <w:hyperlink r:id="rId8" w:history="1">
        <w:r w:rsidRPr="00503536">
          <w:rPr>
            <w:rStyle w:val="Hyperlink"/>
            <w:vertAlign w:val="superscript"/>
          </w:rPr>
          <w:t>2</w:t>
        </w:r>
      </w:hyperlink>
      <w:r>
        <w:t xml:space="preserve"> </w:t>
      </w:r>
      <w:r w:rsidR="007D2B84">
        <w:t xml:space="preserve">However, it is </w:t>
      </w:r>
      <w:r w:rsidR="009408EE">
        <w:t>of course a</w:t>
      </w:r>
      <w:r w:rsidR="007D2B84">
        <w:t xml:space="preserve"> </w:t>
      </w:r>
      <w:r w:rsidR="009408EE">
        <w:t>desirable</w:t>
      </w:r>
      <w:r w:rsidR="007D2B84">
        <w:t xml:space="preserve"> place to live, with easy access to shopping, museums, a wide variety of food and drink, and nature reserves. </w:t>
      </w:r>
    </w:p>
    <w:p w:rsidR="007D2B84" w:rsidRDefault="007D2B84" w:rsidP="00094719">
      <w:r>
        <w:t>In this analysis, we will use Foursquare to analyse</w:t>
      </w:r>
      <w:r w:rsidR="009408EE">
        <w:t xml:space="preserve"> the access to venues in different</w:t>
      </w:r>
      <w:r>
        <w:t xml:space="preserve"> region</w:t>
      </w:r>
      <w:r w:rsidR="009408EE">
        <w:t>s of major cities across the UK, and then</w:t>
      </w:r>
      <w:r>
        <w:t xml:space="preserve"> compare the cost of housing in </w:t>
      </w:r>
      <w:r w:rsidR="009408EE">
        <w:t>similar areas</w:t>
      </w:r>
      <w:r>
        <w:t>.</w:t>
      </w:r>
      <w:r w:rsidR="009408EE">
        <w:t xml:space="preserve"> This will allow people who are unable to afford to buy a house in their current area to identify similar areas around the country that might be more affordable.</w:t>
      </w:r>
    </w:p>
    <w:p w:rsidR="007D2B84" w:rsidRDefault="007D2B84" w:rsidP="007D2B84">
      <w:pPr>
        <w:pStyle w:val="Heading1"/>
      </w:pPr>
      <w:r>
        <w:t>Data</w:t>
      </w:r>
    </w:p>
    <w:p w:rsidR="007D2B84" w:rsidRPr="009408EE" w:rsidRDefault="007D2B84" w:rsidP="007D2B84">
      <w:pPr>
        <w:sectPr w:rsidR="007D2B84" w:rsidRPr="009408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To characterise neighbourhoods,</w:t>
      </w:r>
      <w:r w:rsidR="009408EE">
        <w:t xml:space="preserve"> </w:t>
      </w:r>
      <w:r>
        <w:t>we will use Foursquare to obtain information on the types and density of venue in each postcode zone (i.e. OX2). This will then be compared with the history of house-price sales in those areas in the last 2 years (see Appendix 1 for the SPARQL query used to obtain these data).</w:t>
      </w:r>
      <w:hyperlink r:id="rId9" w:history="1">
        <w:r w:rsidRPr="007D2B84">
          <w:rPr>
            <w:rStyle w:val="Hyperlink"/>
            <w:vertAlign w:val="superscript"/>
          </w:rPr>
          <w:t>3</w:t>
        </w:r>
      </w:hyperlink>
      <w:r>
        <w:rPr>
          <w:vertAlign w:val="superscript"/>
        </w:rPr>
        <w:t xml:space="preserve"> </w:t>
      </w:r>
      <w:r w:rsidR="009408EE">
        <w:t xml:space="preserve"> Overall average house price, as well as house price for different property types (e.g. terrace, semi-detached) will be the main outcome.</w:t>
      </w:r>
    </w:p>
    <w:p w:rsidR="00503536" w:rsidRDefault="00503536" w:rsidP="00AF0861">
      <w:pPr>
        <w:pStyle w:val="Heading1"/>
      </w:pPr>
      <w:r>
        <w:lastRenderedPageBreak/>
        <w:t>References</w:t>
      </w:r>
    </w:p>
    <w:p w:rsidR="00503536" w:rsidRDefault="00503536" w:rsidP="00503536">
      <w:pPr>
        <w:pStyle w:val="ListParagraph"/>
        <w:numPr>
          <w:ilvl w:val="0"/>
          <w:numId w:val="2"/>
        </w:numPr>
      </w:pPr>
      <w:r>
        <w:t>Housing affordability in England and Wales: 2016</w:t>
      </w:r>
      <w:r>
        <w:t xml:space="preserve"> </w:t>
      </w:r>
      <w:hyperlink r:id="rId10" w:history="1">
        <w:r w:rsidRPr="00D8532D">
          <w:rPr>
            <w:rStyle w:val="Hyperlink"/>
          </w:rPr>
          <w:t>https://www.ons.gov.uk/peoplepopulationandcommunity/housing/bulletins/housingaffordabilityinenglandandwales/1997to2016</w:t>
        </w:r>
      </w:hyperlink>
      <w:r>
        <w:t xml:space="preserve"> </w:t>
      </w:r>
    </w:p>
    <w:p w:rsidR="00503536" w:rsidRDefault="00503536" w:rsidP="00503536">
      <w:pPr>
        <w:pStyle w:val="ListParagraph"/>
        <w:numPr>
          <w:ilvl w:val="0"/>
          <w:numId w:val="2"/>
        </w:numPr>
      </w:pPr>
      <w:r w:rsidRPr="00503536">
        <w:t xml:space="preserve">The </w:t>
      </w:r>
      <w:r>
        <w:t>T</w:t>
      </w:r>
      <w:r w:rsidRPr="00503536">
        <w:t xml:space="preserve">rue </w:t>
      </w:r>
      <w:r>
        <w:t>C</w:t>
      </w:r>
      <w:r w:rsidRPr="00503536">
        <w:t xml:space="preserve">ost of </w:t>
      </w:r>
      <w:r>
        <w:t>L</w:t>
      </w:r>
      <w:r w:rsidRPr="00503536">
        <w:t xml:space="preserve">iving in </w:t>
      </w:r>
      <w:r>
        <w:t>UK C</w:t>
      </w:r>
      <w:r w:rsidRPr="00503536">
        <w:t>itie</w:t>
      </w:r>
      <w:r>
        <w:t xml:space="preserve">s </w:t>
      </w:r>
      <w:r>
        <w:br/>
      </w:r>
      <w:hyperlink r:id="rId11" w:history="1">
        <w:r w:rsidRPr="00D8532D">
          <w:rPr>
            <w:rStyle w:val="Hyperlink"/>
          </w:rPr>
          <w:t>https://abcfinance.co.uk/blog/the-true-cost-of-living-in-uk-cities/</w:t>
        </w:r>
      </w:hyperlink>
      <w:r>
        <w:t xml:space="preserve">  </w:t>
      </w:r>
    </w:p>
    <w:p w:rsidR="007D2B84" w:rsidRPr="00503536" w:rsidRDefault="007D2B84" w:rsidP="007D2B84">
      <w:pPr>
        <w:pStyle w:val="ListParagraph"/>
        <w:numPr>
          <w:ilvl w:val="0"/>
          <w:numId w:val="2"/>
        </w:numPr>
        <w:sectPr w:rsidR="007D2B84" w:rsidRPr="005035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HM Land Registry Open Data Price Paid Dataset</w:t>
      </w:r>
      <w:r>
        <w:br/>
      </w:r>
      <w:hyperlink r:id="rId12" w:history="1">
        <w:r w:rsidRPr="00D8532D">
          <w:rPr>
            <w:rStyle w:val="Hyperlink"/>
          </w:rPr>
          <w:t>https://landregistry.data.gov.uk/app/ppd</w:t>
        </w:r>
      </w:hyperlink>
      <w:r>
        <w:t xml:space="preserve"> </w:t>
      </w:r>
    </w:p>
    <w:p w:rsidR="00AF0861" w:rsidRDefault="00AF0861" w:rsidP="00AF0861">
      <w:pPr>
        <w:pStyle w:val="Heading1"/>
      </w:pPr>
      <w:r>
        <w:lastRenderedPageBreak/>
        <w:t>Appendices</w:t>
      </w:r>
    </w:p>
    <w:p w:rsidR="006A07C3" w:rsidRDefault="00AF0861" w:rsidP="00AF0861">
      <w:pPr>
        <w:pStyle w:val="Heading2"/>
      </w:pPr>
      <w:r>
        <w:t>Appendix 1: SPARQL query to obtain price data</w:t>
      </w:r>
    </w:p>
    <w:p w:rsidR="007D2B84" w:rsidRDefault="007D2B84" w:rsidP="00AF0861">
      <w:pPr>
        <w:spacing w:after="0"/>
        <w:rPr>
          <w:rFonts w:ascii="Lucida Console" w:hAnsi="Lucida Console"/>
          <w:sz w:val="16"/>
        </w:rPr>
      </w:pP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xsd:  &lt;http://www.w3.org/2001/XMLSchema#&gt;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text: &lt;http://jena.apache.org/text#&gt;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ppd:  &lt;http://landregistry.data.gov.uk/def/ppi/&gt;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lrcommon: &lt;http://landregistry.data.gov.uk/def/common/&gt;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SELECT  ?item ?ppd_propertyAddress ?ppd_transactionCategory ?ppd_transactionDate ?ppd_estateType ?ppd_hasTransaction ?ppd_pricePaid ?ppd_transactionId ?ppd_newBuild ?ppd_propertyAddressCounty ?ppd_propertyAddressDistrict ?ppd_propertyAddressLocality ?ppd_propertyAddressPaon ?ppd_propertyAddressPostcode ?ppd_propertyAddressSaon ?ppd_propertyAddressStreet ?ppd_propertyAddressTown ?ppd_propertyType ?ppd_recordStatus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WHERE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{ { ?ppd_propertyAddress</w:t>
      </w:r>
    </w:p>
    <w:p w:rsidR="00AF0861" w:rsidRPr="00AF0861" w:rsidRDefault="00AF0861" w:rsidP="00AF0861">
      <w:pPr>
        <w:spacing w:after="0"/>
      </w:pPr>
      <w:r w:rsidRPr="00AF0861">
        <w:rPr>
          <w:rFonts w:ascii="Lucida Console" w:hAnsi="Lucida Console"/>
          <w:sz w:val="16"/>
        </w:rPr>
        <w:t xml:space="preserve">                text:query            ( lrcommon:town "( </w:t>
      </w:r>
      <w:r w:rsidRPr="00AF0861">
        <w:rPr>
          <w:rFonts w:ascii="Lucida Console" w:hAnsi="Lucida Console"/>
          <w:color w:val="FF0000"/>
          <w:sz w:val="16"/>
        </w:rPr>
        <w:t>CITY</w:t>
      </w:r>
      <w:r w:rsidRPr="00AF0861">
        <w:rPr>
          <w:rFonts w:ascii="Lucida Console" w:hAnsi="Lucida Console"/>
          <w:sz w:val="16"/>
        </w:rPr>
        <w:t xml:space="preserve"> )" 3000000 ) .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?item     ppd:propertyAddress   ?ppd_propertyAddress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ppd:estateType        lrcommon:freehold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ppd:transactionCategory  ppd:standardPricePaidTransaction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ppd:transactionDate   ?ppd_transactionDate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ppd:hasTransaction    ?ppd_hasTransaction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ppd:pricePaid         ?ppd_pricePaid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ppd:transactionId     ?ppd_transactionId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FILTER ( ?ppd_transactionDate &gt;= "2018-01-01"^^xsd:date 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FILTER ( ?ppd_transactionDate &lt;= "2020-02-22"^^xsd:date 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ppd:newBuild  ?ppd_newBuild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lrcommon:county  ?ppd_propertyAddressCounty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lrcommon:district  ?ppd_propertyAddressDistrict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lrcommon:locality  ?ppd_propertyAddressLocality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lrcommon:paon  ?ppd_propertyAddressPaon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lrcommon:postcode  ?ppd_propertyAddressPostcode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lrcommon:saon  ?ppd_propertyAddressSaon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lrcommon:street  ?ppd_propertyAddressStreet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lrcommon:town  ?ppd_propertyAddressTown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ppd:propertyType  ?ppd_propertyType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ppd:recordStatus  ?ppd_recordStatus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BIND(lrcommon:freehold AS ?ppd_estateType)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BIND(ppd:standardPricePaidTransaction AS ?ppd_transactionCategory)</w:t>
      </w:r>
    </w:p>
    <w:p w:rsidR="00AF0861" w:rsidRPr="00AF0861" w:rsidRDefault="00AF0861" w:rsidP="00AF0861">
      <w:pPr>
        <w:spacing w:after="0"/>
      </w:pPr>
      <w:r w:rsidRPr="00AF0861">
        <w:rPr>
          <w:rFonts w:ascii="Lucida Console" w:hAnsi="Lucida Console"/>
          <w:sz w:val="16"/>
        </w:rPr>
        <w:t xml:space="preserve">  }</w:t>
      </w:r>
    </w:p>
    <w:p w:rsidR="00AF0861" w:rsidRPr="00AF0861" w:rsidRDefault="00AF0861" w:rsidP="00AF0861">
      <w:pPr>
        <w:spacing w:after="0"/>
      </w:pPr>
    </w:p>
    <w:sectPr w:rsidR="00AF0861" w:rsidRPr="00AF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4C4F"/>
    <w:multiLevelType w:val="hybridMultilevel"/>
    <w:tmpl w:val="9CDC3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E1367"/>
    <w:multiLevelType w:val="hybridMultilevel"/>
    <w:tmpl w:val="3A0A1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61"/>
    <w:rsid w:val="00094719"/>
    <w:rsid w:val="00503536"/>
    <w:rsid w:val="007D2B84"/>
    <w:rsid w:val="00895D14"/>
    <w:rsid w:val="009408EE"/>
    <w:rsid w:val="00AF0861"/>
    <w:rsid w:val="00E0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1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861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471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71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1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1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53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1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861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471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71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1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1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53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finance.co.uk/blog/the-true-cost-of-living-in-uk-citi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ns.gov.uk/peoplepopulationandcommunity/housing/bulletins/housingaffordabilityinenglandandwales/1997to2016" TargetMode="External"/><Relationship Id="rId12" Type="http://schemas.openxmlformats.org/officeDocument/2006/relationships/hyperlink" Target="https://landregistry.data.gov.uk/app/pp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cfinance.co.uk/blog/the-true-cost-of-living-in-uk-citi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ons.gov.uk/peoplepopulationandcommunity/housing/bulletins/housingaffordabilityinenglandandwales/1997to20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ndregistry.data.gov.uk/app/ppd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7163678-0924-4793-A4A2-36A16CCC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Grant</dc:creator>
  <cp:lastModifiedBy>Jacob Grant</cp:lastModifiedBy>
  <cp:revision>1</cp:revision>
  <dcterms:created xsi:type="dcterms:W3CDTF">2020-02-22T13:42:00Z</dcterms:created>
  <dcterms:modified xsi:type="dcterms:W3CDTF">2020-02-22T15:15:00Z</dcterms:modified>
</cp:coreProperties>
</file>