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rFonts w:ascii="Times New Roman" w:hAnsi="Times New Roman"/>
          <w:b/>
          <w:sz w:val="32"/>
        </w:rPr>
        <w:t>The Productivity Paradox of Capital Returns in Enterprise Value Networks: Formal Proofs and Universal Computability of Open Complex Giant Systems via Non-IID State-Space Modeling</w:t>
      </w:r>
    </w:p>
    <w:p>
      <w:pPr>
        <w:spacing w:after="360"/>
        <w:jc w:val="center"/>
      </w:pPr>
      <w:r>
        <w:rPr>
          <w:i/>
          <w:color w:val="555555"/>
          <w:sz w:val="19"/>
        </w:rPr>
        <w:t>Running Head: VALUE CHAIN PHYSICS &amp; OCGS UNIVERSAL COMPUTABILITY</w:t>
      </w:r>
    </w:p>
    <w:p>
      <w:pPr>
        <w:spacing w:after="80"/>
        <w:jc w:val="center"/>
      </w:pPr>
      <w:r>
        <w:rPr>
          <w:b/>
          <w:sz w:val="24"/>
        </w:rPr>
        <w:t>Fanchun Meng (Grit Meng)</w:t>
      </w:r>
    </w:p>
    <w:p>
      <w:pPr>
        <w:spacing w:after="360"/>
        <w:jc w:val="center"/>
      </w:pPr>
      <w:r>
        <w:rPr>
          <w:i/>
          <w:sz w:val="21"/>
        </w:rPr>
        <w:t>Department of Intelligent Planning &amp; Control (IPC) / Independent Researcher, Beijing, China</w:t>
      </w:r>
    </w:p>
    <w:p>
      <w:pPr>
        <w:spacing w:before="240" w:after="120"/>
      </w:pPr>
      <w:r>
        <w:rPr>
          <w:b/>
        </w:rPr>
        <w:t xml:space="preserve">Target Journal: </w:t>
      </w:r>
      <w:r>
        <w:t>IEEE Transactions on Systems, Man, and Cybernetics: Systems (T-SMC)</w:t>
      </w:r>
    </w:p>
    <w:p>
      <w:pPr>
        <w:spacing w:before="120" w:after="120"/>
      </w:pPr>
      <w:r>
        <w:rPr>
          <w:b/>
        </w:rPr>
        <w:t>Corresponding Author:</w:t>
        <w:br/>
      </w:r>
      <w:r>
        <w:t>Fanchun Meng (Grit Meng)</w:t>
        <w:br/>
        <w:t>Chief Architect, Department of Intelligent Planning &amp; Control (IPC)</w:t>
        <w:br/>
        <w:t>Beijing, China</w:t>
        <w:br/>
        <w:t>Email: gritmeng@outlook.com</w:t>
        <w:br/>
        <w:t>ORCID / Author Page: Abstract ID 7251098 (SSRN) | DOI: 10.5281/zenodo.22033928 (Zenodo)</w:t>
      </w:r>
    </w:p>
    <w:p>
      <w:pPr>
        <w:spacing w:before="240" w:after="80"/>
      </w:pPr>
      <w:r>
        <w:rPr>
          <w:b/>
        </w:rPr>
        <w:t>Word Count &amp; Article Metadata:</w:t>
      </w:r>
    </w:p>
    <w:p>
      <w:pPr>
        <w:spacing w:after="240"/>
      </w:pPr>
      <w:r>
        <w:t>• Article Type: Regular Research Paper</w:t>
        <w:br/>
      </w:r>
      <w:r>
        <w:t>• Total Word Count: ~8,500 words</w:t>
        <w:br/>
      </w:r>
      <w:r>
        <w:t>• Number of Figures &amp; Tables: 2 Tables, Formal Proof Equations</w:t>
        <w:br/>
      </w:r>
      <w:r>
        <w:t>• Disclosures &amp; Conflicts of Interest: The author declares no conflicts of interest. The longitudinal field data is anonymized and audited by PwC / WEF Lighthouse Factory logs.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