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08f3559735d527b70ecf8610d9b8a7a76432be6"/>
    <w:p>
      <w:pPr>
        <w:pStyle w:val="Heading1"/>
        <w:spacing w:before="240" w:after="160" w:line="300" w:lineRule="auto"/>
        <w:jc w:val="center"/>
      </w:pPr>
      <w:r>
        <w:rPr>
          <w:rFonts w:ascii="Times New Roman" w:hAnsi="Times New Roman" w:eastAsia="Times New Roman" w:cs="Times New Roman"/>
          <w:b/>
          <w:color w:val="1B365D"/>
          <w:sz w:val="36"/>
        </w:rPr>
        <w:t xml:space="preserve">Cover Letter: IEEE Transactions Submission</w:t>
      </w:r>
    </w:p>
    <w:p>
      <w:pPr>
        <w:pStyle w:val="FirstParagraph"/>
        <w:spacing w:before="0" w:after="80" w:line="300" w:lineRule="auto"/>
        <w:ind w:firstLine="0"/>
      </w:pPr>
      <w:r>
        <w:rPr>
          <w:b/>
          <w:bCs/>
          <w:rFonts w:ascii="Times New Roman" w:hAnsi="Times New Roman" w:eastAsia="Times New Roman" w:cs="Times New Roman"/>
          <w:color w:val="2D3748"/>
          <w:sz w:val="20"/>
        </w:rPr>
        <w:t xml:space="preserve">Date</w:t>
      </w:r>
      <w:r>
        <w:rPr>
          <w:rFonts w:ascii="Times New Roman" w:hAnsi="Times New Roman" w:eastAsia="Times New Roman" w:cs="Times New Roman"/>
          <w:color w:val="2D3748"/>
          <w:sz w:val="20"/>
        </w:rPr>
        <w:t xml:space="preserve">: September 21, 2026</w:t>
      </w:r>
    </w:p>
    <w:p>
      <w:pPr>
        <w:pStyle w:val="BodyText"/>
        <w:spacing w:before="0" w:after="80" w:line="300" w:lineRule="auto"/>
        <w:ind w:firstLine="0"/>
      </w:pPr>
      <w:r>
        <w:rPr>
          <w:b/>
          <w:bCs/>
          <w:rFonts w:ascii="Times New Roman" w:hAnsi="Times New Roman" w:eastAsia="Times New Roman" w:cs="Times New Roman"/>
          <w:color w:val="2D3748"/>
          <w:sz w:val="20"/>
        </w:rPr>
        <w:t xml:space="preserve">To</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The Editor-in-Chief</w:t>
      </w:r>
      <w:r>
        <w:rPr>
          <w:rFonts w:ascii="Times New Roman" w:hAnsi="Times New Roman" w:eastAsia="Times New Roman" w:cs="Times New Roman"/>
          <w:color w:val="2D3748"/>
          <w:sz w:val="20"/>
        </w:rPr>
        <w:br/>
      </w:r>
      <w:r>
        <w:rPr>
          <w:i/>
          <w:iCs/>
          <w:rFonts w:ascii="Times New Roman" w:hAnsi="Times New Roman" w:eastAsia="Times New Roman" w:cs="Times New Roman"/>
          <w:color w:val="2D3748"/>
          <w:sz w:val="20"/>
        </w:rPr>
        <w:t xml:space="preserve">IEEE Transactions on Systems, Man, and Cybernetics: Systems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(or</w:t>
      </w:r>
      <w:r>
        <w:rPr>
          <w:rFonts w:ascii="Times New Roman" w:hAnsi="Times New Roman" w:eastAsia="Times New Roman" w:cs="Times New Roman"/>
          <w:color w:val="2D3748"/>
          <w:sz w:val="20"/>
        </w:rPr>
        <w:t xml:space="preserve"> </w:t>
      </w:r>
      <w:r>
        <w:rPr>
          <w:i/>
          <w:iCs/>
          <w:rFonts w:ascii="Times New Roman" w:hAnsi="Times New Roman" w:eastAsia="Times New Roman" w:cs="Times New Roman"/>
          <w:color w:val="2D3748"/>
          <w:sz w:val="20"/>
        </w:rPr>
        <w:t xml:space="preserve">IEEE Transactions on Cybernetics</w:t>
      </w:r>
      <w:r>
        <w:rPr>
          <w:rFonts w:ascii="Times New Roman" w:hAnsi="Times New Roman" w:eastAsia="Times New Roman" w:cs="Times New Roman"/>
          <w:color w:val="2D3748"/>
          <w:sz w:val="20"/>
        </w:rPr>
        <w:t xml:space="preserve">)</w:t>
      </w:r>
    </w:p>
    <w:p>
      <w:pPr>
        <w:pStyle w:val="BodyText"/>
        <w:spacing w:before="0" w:after="80" w:line="300" w:lineRule="auto"/>
        <w:ind w:firstLine="0"/>
      </w:pPr>
      <w:r>
        <w:rPr>
          <w:b/>
          <w:bCs/>
          <w:rFonts w:ascii="Times New Roman" w:hAnsi="Times New Roman" w:eastAsia="Times New Roman" w:cs="Times New Roman"/>
          <w:color w:val="2D3748"/>
          <w:sz w:val="20"/>
        </w:rPr>
        <w:t xml:space="preserve">Subject</w:t>
      </w:r>
      <w:r>
        <w:rPr>
          <w:rFonts w:ascii="Times New Roman" w:hAnsi="Times New Roman" w:eastAsia="Times New Roman" w:cs="Times New Roman"/>
          <w:color w:val="2D3748"/>
          <w:sz w:val="20"/>
        </w:rPr>
        <w:t xml:space="preserve">: Manuscript Submission —</w:t>
      </w:r>
      <w:r>
        <w:rPr>
          <w:rFonts w:ascii="Times New Roman" w:hAnsi="Times New Roman" w:eastAsia="Times New Roman" w:cs="Times New Roman"/>
          <w:color w:val="2D3748"/>
          <w:sz w:val="20"/>
        </w:rPr>
        <w:t xml:space="preserve"> </w:t>
      </w:r>
      <w:r>
        <w:rPr>
          <w:i/>
          <w:iCs/>
          <w:rFonts w:ascii="Times New Roman" w:hAnsi="Times New Roman" w:eastAsia="Times New Roman" w:cs="Times New Roman"/>
          <w:color w:val="2D3748"/>
          <w:sz w:val="20"/>
        </w:rPr>
        <w:t xml:space="preserve">Generation, Survival, and Evolution of Open Complex Giant Systems: Inference Deductions and Isomorphic Proof of OCGS Based on the Non-IID First Principle</w:t>
      </w:r>
    </w:p>
    <w:p>
      <w:pPr>
        <w:pStyle w:val="BodyText"/>
        <w:spacing w:before="0" w:after="80" w:line="300" w:lineRule="auto"/>
        <w:ind w:firstLine="0"/>
      </w:pPr>
      <w:r>
        <w:rPr>
          <w:rFonts w:ascii="Times New Roman" w:hAnsi="Times New Roman" w:eastAsia="Times New Roman" w:cs="Times New Roman"/>
          <w:color w:val="2D3748"/>
          <w:sz w:val="20"/>
        </w:rPr>
        <w:t xml:space="preserve">Dear Editor-in-Chief and Associate Editors,</w:t>
      </w:r>
    </w:p>
    <w:p>
      <w:pPr>
        <w:pStyle w:val="BodyText"/>
        <w:spacing w:before="0" w:after="80" w:line="300" w:lineRule="auto"/>
        <w:ind w:firstLine="0"/>
      </w:pPr>
      <w:r>
        <w:rPr>
          <w:rFonts w:ascii="Times New Roman" w:hAnsi="Times New Roman" w:eastAsia="Times New Roman" w:cs="Times New Roman"/>
          <w:color w:val="2D3748"/>
          <w:sz w:val="20"/>
        </w:rPr>
        <w:t xml:space="preserve">I am pleased to submit our original research manuscript titled</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“Generation, Survival, and Evolution of Open Complex Giant Systems: Inference Deductions and Isomorphic Proof of OCGS Based on the Non-IID First Principle”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for consideration for publication in</w:t>
      </w:r>
      <w:r>
        <w:rPr>
          <w:rFonts w:ascii="Times New Roman" w:hAnsi="Times New Roman" w:eastAsia="Times New Roman" w:cs="Times New Roman"/>
          <w:color w:val="2D3748"/>
          <w:sz w:val="20"/>
        </w:rPr>
        <w:t xml:space="preserve"> </w:t>
      </w:r>
      <w:r>
        <w:rPr>
          <w:i/>
          <w:iCs/>
          <w:rFonts w:ascii="Times New Roman" w:hAnsi="Times New Roman" w:eastAsia="Times New Roman" w:cs="Times New Roman"/>
          <w:color w:val="2D3748"/>
          <w:sz w:val="20"/>
        </w:rPr>
        <w:t xml:space="preserve">IEEE Transactions</w:t>
      </w:r>
      <w:r>
        <w:rPr>
          <w:rFonts w:ascii="Times New Roman" w:hAnsi="Times New Roman" w:eastAsia="Times New Roman" w:cs="Times New Roman"/>
          <w:color w:val="2D3748"/>
          <w:sz w:val="20"/>
        </w:rPr>
        <w:t xml:space="preserve">.</w:t>
      </w:r>
    </w:p>
    <w:bookmarkStart w:id="9" w:name="X2566e8fbda62e959b28ab66ccb5c519865bad7f"/>
    <w:p>
      <w:pPr>
        <w:pStyle w:val="Heading3"/>
        <w:spacing w:before="200" w:after="60" w:line="300" w:lineRule="auto"/>
        <w:ind w:firstLine="0"/>
      </w:pPr>
      <w:r>
        <w:rPr>
          <w:rFonts w:ascii="Times New Roman" w:hAnsi="Times New Roman" w:eastAsia="Times New Roman" w:cs="Times New Roman"/>
          <w:b/>
          <w:color w:val="2D3748"/>
          <w:sz w:val="22"/>
        </w:rPr>
        <w:t xml:space="preserve">Research Significance and Core Contributions</w:t>
      </w:r>
    </w:p>
    <w:p>
      <w:pPr>
        <w:pStyle w:val="FirstParagraph"/>
        <w:spacing w:before="0" w:after="80" w:line="300" w:lineRule="auto"/>
        <w:ind w:firstLine="0"/>
      </w:pPr>
      <w:r>
        <w:rPr>
          <w:rFonts w:ascii="Times New Roman" w:hAnsi="Times New Roman" w:eastAsia="Times New Roman" w:cs="Times New Roman"/>
          <w:color w:val="2D3748"/>
          <w:sz w:val="20"/>
        </w:rPr>
        <w:t xml:space="preserve">The long-term survival, governance, and autonomous closed-loop computability of Open Complex Giant Systems (OCGS)—first conceptualized by Academician Qian Xuesen in the 1990s—represent fundamental open questions in system science and complexity science. While Prof. Longbing Cao (</w:t>
      </w:r>
      <w:r>
        <w:rPr>
          <w:i/>
          <w:iCs/>
          <w:rFonts w:ascii="Times New Roman" w:hAnsi="Times New Roman" w:eastAsia="Times New Roman" w:cs="Times New Roman"/>
          <w:color w:val="2D3748"/>
          <w:sz w:val="20"/>
        </w:rPr>
        <w:t xml:space="preserve">IEEE TKDE 2014</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t xml:space="preserve"> </w:t>
      </w:r>
      <w:r>
        <w:rPr>
          <w:i/>
          <w:iCs/>
          <w:rFonts w:ascii="Times New Roman" w:hAnsi="Times New Roman" w:eastAsia="Times New Roman" w:cs="Times New Roman"/>
          <w:color w:val="2D3748"/>
          <w:sz w:val="20"/>
        </w:rPr>
        <w:t xml:space="preserve">IEEE SMC 2009</w:t>
      </w:r>
      <w:r>
        <w:rPr>
          <w:rFonts w:ascii="Times New Roman" w:hAnsi="Times New Roman" w:eastAsia="Times New Roman" w:cs="Times New Roman"/>
          <w:color w:val="2D3748"/>
          <w:sz w:val="20"/>
        </w:rPr>
        <w:t xml:space="preserve">) established the Non-Independent and Non-Identically Distributed (Non-IID) theoretical foundation for data science and complex learning, formal mathematical computability proofs and large-scale industrial validation for universal OCGS have remained elusive.</w:t>
      </w:r>
    </w:p>
    <w:p>
      <w:pPr>
        <w:pStyle w:val="BodyText"/>
        <w:spacing w:before="0" w:after="80" w:line="300" w:lineRule="auto"/>
        <w:ind w:firstLine="0"/>
      </w:pPr>
      <w:r>
        <w:rPr>
          <w:rFonts w:ascii="Times New Roman" w:hAnsi="Times New Roman" w:eastAsia="Times New Roman" w:cs="Times New Roman"/>
          <w:color w:val="2D3748"/>
          <w:sz w:val="20"/>
        </w:rPr>
        <w:t xml:space="preserve">This paper bridges this gap by decoupling qualitative cybernetic deductions from formal quantitative proofs:</w:t>
      </w:r>
    </w:p>
    <w:p>
      <w:pPr>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Non-IID First Principle &amp; Formal Computability Guarantee</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By modeling high-dimensional non-convex state spaces as continuous topological manifolds</w:t>
      </w:r>
      <w:r>
        <w:rPr>
          <w:rFonts w:ascii="Times New Roman" w:hAnsi="Times New Roman" w:eastAsia="Times New Roman" w:cs="Times New Roman"/>
          <w:color w:val="2D3748"/>
          <w:sz w:val="20"/>
        </w:rPr>
        <w:t xml:space="preserve"> </w:t>
      </w:r>
      <m:oMath>
        <m:r>
          <m:rPr>
            <m:scr m:val="script"/>
            <m:sty m:val="p"/>
          </m:rPr>
          <m:t>M</m:t>
        </m:r>
      </m:oMath>
      <w:r>
        <w:rPr>
          <w:rFonts w:ascii="Times New Roman" w:hAnsi="Times New Roman" w:eastAsia="Times New Roman" w:cs="Times New Roman"/>
          <w:color w:val="2D3748"/>
          <w:sz w:val="20"/>
        </w:rPr>
        <w:t xml:space="preserve">, we introduce an orthogonal projection operator</w:t>
      </w:r>
      <w:r>
        <w:rPr>
          <w:rFonts w:ascii="Times New Roman" w:hAnsi="Times New Roman" w:eastAsia="Times New Roman" w:cs="Times New Roman"/>
          <w:color w:val="2D3748"/>
          <w:sz w:val="20"/>
        </w:rPr>
        <w:t xml:space="preserve"> </w:t>
      </w:r>
      <m:oMath>
        <m:sSub>
          <m:e>
            <m:r>
              <m:rPr>
                <m:scr m:val="script"/>
                <m:sty m:val="p"/>
              </m:rPr>
              <m:t>P</m:t>
            </m:r>
          </m:e>
          <m:sub>
            <m:r>
              <m:rPr>
                <m:nor/>
                <m:sty m:val="p"/>
              </m:rPr>
              <m:t>orthogonal</m:t>
            </m:r>
          </m:sub>
        </m:sSub>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that algebraically prunes combinatorial state complexity from</w:t>
      </w:r>
      <w:r>
        <w:rPr>
          <w:rFonts w:ascii="Times New Roman" w:hAnsi="Times New Roman" w:eastAsia="Times New Roman" w:cs="Times New Roman"/>
          <w:color w:val="2D3748"/>
          <w:sz w:val="20"/>
        </w:rPr>
        <w:t xml:space="preserve"> </w:t>
      </w:r>
      <m:oMath>
        <m:r>
          <m:t>O</m:t>
        </m:r>
        <m:r>
          <m:rPr>
            <m:sty m:val="p"/>
          </m:rPr>
          <m:t>(</m:t>
        </m:r>
        <m:r>
          <m:t>N</m:t>
        </m:r>
        <m:r>
          <m:rPr>
            <m:sty m:val="p"/>
          </m:rPr>
          <m:t>!</m:t>
        </m:r>
        <m:r>
          <m:rPr>
            <m:sty m:val="p"/>
          </m:rPr>
          <m:t>)</m:t>
        </m:r>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to polynomial</w:t>
      </w:r>
      <w:r>
        <w:rPr>
          <w:rFonts w:ascii="Times New Roman" w:hAnsi="Times New Roman" w:eastAsia="Times New Roman" w:cs="Times New Roman"/>
          <w:color w:val="2D3748"/>
          <w:sz w:val="20"/>
        </w:rPr>
        <w:t xml:space="preserve"> </w:t>
      </w:r>
      <m:oMath>
        <m:r>
          <m:t>O</m:t>
        </m:r>
        <m:r>
          <m:rPr>
            <m:sty m:val="p"/>
          </m:rPr>
          <m:t>(</m:t>
        </m:r>
        <m:sSup>
          <m:e>
            <m:r>
              <m:t>N</m:t>
            </m:r>
          </m:e>
          <m:sup>
            <m:r>
              <m:t>k</m:t>
            </m:r>
          </m:sup>
        </m:sSup>
        <m:r>
          <m:rPr>
            <m:sty m:val="p"/>
          </m:rPr>
          <m:t>)</m:t>
        </m:r>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(Lemma 1). We construct a complete Banach space</w:t>
      </w:r>
      <w:r>
        <w:rPr>
          <w:rFonts w:ascii="Times New Roman" w:hAnsi="Times New Roman" w:eastAsia="Times New Roman" w:cs="Times New Roman"/>
          <w:color w:val="2D3748"/>
          <w:sz w:val="20"/>
        </w:rPr>
        <w:t xml:space="preserve"> </w:t>
      </w:r>
      <m:oMath>
        <m:r>
          <m:rPr>
            <m:scr m:val="script"/>
            <m:sty m:val="p"/>
          </m:rPr>
          <m:t>B</m:t>
        </m:r>
      </m:oMath>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with normalized structural norms and establish the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Structure/Operator Fixed Point Theorem</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(Theorem 1), proving that under Lipschitz contraction (</w:t>
      </w:r>
      <m:oMath>
        <m:r>
          <m:t>γ</m:t>
        </m:r>
        <m:r>
          <m:rPr>
            <m:sty m:val="p"/>
          </m:rPr>
          <m:t>&lt;</m:t>
        </m:r>
        <m:r>
          <m:t>1</m:t>
        </m:r>
      </m:oMath>
      <w:r>
        <w:rPr>
          <w:rFonts w:ascii="Times New Roman" w:hAnsi="Times New Roman" w:eastAsia="Times New Roman" w:cs="Times New Roman"/>
          <w:color w:val="2D3748"/>
          <w:sz w:val="20"/>
        </w:rPr>
        <w:t xml:space="preserve">), the governance algorithm structure automatically converges to a unique, self-consistent fixed point</w:t>
      </w:r>
      <w:r>
        <w:rPr>
          <w:rFonts w:ascii="Times New Roman" w:hAnsi="Times New Roman" w:eastAsia="Times New Roman" w:cs="Times New Roman"/>
          <w:color w:val="2D3748"/>
          <w:sz w:val="20"/>
        </w:rPr>
        <w:t xml:space="preserve"> </w:t>
      </w:r>
      <m:oMath>
        <m:sSup>
          <m:e>
            <m:r>
              <m:t>S</m:t>
            </m:r>
          </m:e>
          <m:sup>
            <m:r>
              <m:rPr>
                <m:sty m:val="p"/>
              </m:rPr>
              <m:t>*</m:t>
            </m:r>
          </m:sup>
        </m:sSup>
      </m:oMath>
      <w:r>
        <w:rPr>
          <w:rFonts w:ascii="Times New Roman" w:hAnsi="Times New Roman" w:eastAsia="Times New Roman" w:cs="Times New Roman"/>
          <w:color w:val="2D3748"/>
          <w:sz w:val="20"/>
        </w:rPr>
        <w:t xml:space="preserve">.</w:t>
      </w:r>
    </w:p>
    <w:p>
      <w:pPr>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1-to-1 Isomorphism to Qian Xuesen’s OCGS Theory</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We construct a rigorous 1-to-1 physical and cybernetic isomorphic mapping between eight qualitative deductions (covering Teleology, Essence, Methodology, Capability, Mechanism, Pathway, Dynamics, and Evolution) and Qian’s metasynthesis methodology (HWME Hall of Workshop, Department of Overall Design, Metasynthetic Wisdom).</w:t>
      </w:r>
    </w:p>
    <w:p>
      <w:pPr>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18-Year Industrial Validation &amp;</w:t>
      </w:r>
      <w:r>
        <w:rPr>
          <w:b/>
          <w:bCs/>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“Human-Out-of-the-Loop”</w:t>
      </w:r>
      <w:r>
        <w:rPr>
          <w:b/>
          <w:bCs/>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Autonomy</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The theoretical framework is grounded in 18 years of continuous industrial physical practice (Lenovo Group IPS System) and the IPC physics engine (20 patents filed, 5 granted). Operating on global supply networks controlling 50,000 discrete demands, 2,000,000 SKU-Site nodes, and 150,000 topological constraints, the system maintains an autonomous decision rate of</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over 95% human-out-of-the-loop</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with 48-hour response rates</w:t>
      </w:r>
      <w:r>
        <w:rPr>
          <w:rFonts w:ascii="Times New Roman" w:hAnsi="Times New Roman" w:eastAsia="Times New Roman" w:cs="Times New Roman"/>
          <w:color w:val="2D3748"/>
          <w:sz w:val="20"/>
        </w:rPr>
        <w:t xml:space="preserve"> </w:t>
      </w:r>
      <m:oMath>
        <m:r>
          <m:rPr>
            <m:sty m:val="p"/>
          </m:rPr>
          <m:t>&gt;</m:t>
        </m:r>
        <m:r>
          <m:t>98</m:t>
        </m:r>
        <m:r>
          <m:rPr>
            <m:sty m:val="p"/>
          </m:rPr>
          <m:t>%</m:t>
        </m:r>
      </m:oMath>
      <w:r>
        <w:rPr>
          <w:rFonts w:ascii="Times New Roman" w:hAnsi="Times New Roman" w:eastAsia="Times New Roman" w:cs="Times New Roman"/>
          <w:color w:val="2D3748"/>
          <w:sz w:val="20"/>
        </w:rPr>
        <w:t xml:space="preserve">.</w:t>
      </w:r>
    </w:p>
    <w:p>
      <w:pPr>
        <w:numPr>
          <w:ilvl w:val="0"/>
          <w:numId w:val="1001"/>
        </w:numPr>
        <w:spacing w:before="0" w:after="80" w:line="300" w:lineRule="auto"/>
        <w:ind w:firstLine="0"/>
      </w:pPr>
      <w:r>
        <w:rPr>
          <w:b/>
          <w:bCs/>
          <w:rFonts w:ascii="Times New Roman" w:hAnsi="Times New Roman" w:eastAsia="Times New Roman" w:cs="Times New Roman"/>
          <w:color w:val="2D3748"/>
          <w:sz w:val="20"/>
        </w:rPr>
        <w:t xml:space="preserve">Hardcore Popperian Falsifiability &amp; Cross-Domain Metrics</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We establish strict Popperian falsifiability boundaries for all eight deductions, complete with an alignment matrix of observable metric indicators across four major complex giant systems:</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Meteorology, Urban Traffic, Macroeconomics, and Enterprise Supply Networks</w:t>
      </w:r>
      <w:r>
        <w:rPr>
          <w:rFonts w:ascii="Times New Roman" w:hAnsi="Times New Roman" w:eastAsia="Times New Roman" w:cs="Times New Roman"/>
          <w:color w:val="2D3748"/>
          <w:sz w:val="20"/>
        </w:rPr>
        <w:t xml:space="preserve">.</w:t>
      </w:r>
    </w:p>
    <w:bookmarkEnd w:id="9"/>
    <w:bookmarkStart w:id="10" w:name="ieee-double-blind-review-compliance"/>
    <w:p>
      <w:pPr>
        <w:pStyle w:val="Heading3"/>
        <w:spacing w:before="200" w:after="60" w:line="300" w:lineRule="auto"/>
        <w:ind w:firstLine="0"/>
      </w:pPr>
      <w:r>
        <w:rPr>
          <w:rFonts w:ascii="Times New Roman" w:hAnsi="Times New Roman" w:eastAsia="Times New Roman" w:cs="Times New Roman"/>
          <w:b/>
          <w:color w:val="2D3748"/>
          <w:sz w:val="22"/>
        </w:rPr>
        <w:t xml:space="preserve">IEEE Double-Blind Review Compliance</w:t>
      </w:r>
    </w:p>
    <w:p>
      <w:pPr>
        <w:pStyle w:val="FirstParagraph"/>
        <w:spacing w:before="0" w:after="80" w:line="300" w:lineRule="auto"/>
        <w:ind w:firstLine="0"/>
      </w:pPr>
      <w:r>
        <w:rPr>
          <w:rFonts w:ascii="Times New Roman" w:hAnsi="Times New Roman" w:eastAsia="Times New Roman" w:cs="Times New Roman"/>
          <w:color w:val="2D3748"/>
          <w:sz w:val="20"/>
        </w:rPr>
        <w:t xml:space="preserve">In full accordance with IEEE double-blind peer review guidelines: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 The submitted manuscript (</w:t>
      </w:r>
      <w:r>
        <w:rPr>
          <w:rStyle w:val="VerbatimChar"/>
          <w:rFonts w:ascii="Times New Roman" w:hAnsi="Times New Roman" w:eastAsia="Times New Roman" w:cs="Times New Roman"/>
          <w:color w:val="2D3748"/>
          <w:sz w:val="20"/>
        </w:rPr>
        <w:t xml:space="preserve">Paper_2_IEEE_Double_Blind_EN</w:t>
      </w:r>
      <w:r>
        <w:rPr>
          <w:rFonts w:ascii="Times New Roman" w:hAnsi="Times New Roman" w:eastAsia="Times New Roman" w:cs="Times New Roman"/>
          <w:color w:val="2D3748"/>
          <w:sz w:val="20"/>
        </w:rPr>
        <w:t xml:space="preserve">) has been thoroughly anonymized, removing author names, institutional affiliations, contact emails, ORCID identifiers, and self-identifying repository links.</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 All complete metadata, author biographies, institutional affiliations, and repository URLs are provided in the separate</w:t>
      </w:r>
      <w:r>
        <w:rPr>
          <w:rFonts w:ascii="Times New Roman" w:hAnsi="Times New Roman" w:eastAsia="Times New Roman" w:cs="Times New Roman"/>
          <w:color w:val="2D3748"/>
          <w:sz w:val="20"/>
        </w:rPr>
        <w:t xml:space="preserve"> </w:t>
      </w:r>
      <w:r>
        <w:rPr>
          <w:b/>
          <w:bCs/>
          <w:rFonts w:ascii="Times New Roman" w:hAnsi="Times New Roman" w:eastAsia="Times New Roman" w:cs="Times New Roman"/>
          <w:color w:val="2D3748"/>
          <w:sz w:val="20"/>
        </w:rPr>
        <w:t xml:space="preserve">Title Page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w:t>
      </w:r>
      <w:r>
        <w:rPr>
          <w:rStyle w:val="VerbatimChar"/>
          <w:rFonts w:ascii="Times New Roman" w:hAnsi="Times New Roman" w:eastAsia="Times New Roman" w:cs="Times New Roman"/>
          <w:color w:val="2D3748"/>
          <w:sz w:val="20"/>
        </w:rPr>
        <w:t xml:space="preserve">Paper_2_IEEE_Title_Page</w:t>
      </w:r>
      <w:r>
        <w:rPr>
          <w:rFonts w:ascii="Times New Roman" w:hAnsi="Times New Roman" w:eastAsia="Times New Roman" w:cs="Times New Roman"/>
          <w:color w:val="2D3748"/>
          <w:sz w:val="20"/>
        </w:rPr>
        <w:t xml:space="preserve">).</w:t>
      </w:r>
      <w:r>
        <w:rPr>
          <w:rFonts w:ascii="Times New Roman" w:hAnsi="Times New Roman" w:eastAsia="Times New Roman" w:cs="Times New Roman"/>
          <w:color w:val="2D3748"/>
          <w:sz w:val="20"/>
        </w:rPr>
        <w:t xml:space="preserve"> </w:t>
      </w:r>
      <w:r>
        <w:rPr>
          <w:rFonts w:ascii="Times New Roman" w:hAnsi="Times New Roman" w:eastAsia="Times New Roman" w:cs="Times New Roman"/>
          <w:color w:val="2D3748"/>
          <w:sz w:val="20"/>
        </w:rPr>
        <w:t xml:space="preserve">- This manuscript represents original work that has not been published previously and is not under consideration for publication elsewhere.</w:t>
      </w:r>
    </w:p>
    <w:p>
      <w:pPr>
        <w:pStyle w:val="BodyText"/>
        <w:spacing w:before="0" w:after="80" w:line="300" w:lineRule="auto"/>
        <w:ind w:firstLine="0"/>
      </w:pPr>
      <w:r>
        <w:rPr>
          <w:rFonts w:ascii="Times New Roman" w:hAnsi="Times New Roman" w:eastAsia="Times New Roman" w:cs="Times New Roman"/>
          <w:color w:val="2D3748"/>
          <w:sz w:val="20"/>
        </w:rPr>
        <w:t xml:space="preserve">Thank you very much for your time, consideration, and leadership in processing our submission. We look forward to receiving the reviewers’ constructive feedback.</w:t>
      </w:r>
    </w:p>
    <w:p>
      <w:pPr>
        <w:pStyle w:val="BodyText"/>
        <w:spacing w:before="0" w:after="80" w:line="300" w:lineRule="auto"/>
        <w:ind w:firstLine="0"/>
      </w:pPr>
      <w:r>
        <w:rPr>
          <w:rFonts w:ascii="Times New Roman" w:hAnsi="Times New Roman" w:eastAsia="Times New Roman" w:cs="Times New Roman"/>
          <w:color w:val="2D3748"/>
          <w:sz w:val="20"/>
        </w:rPr>
        <w:t xml:space="preserve">Sincerely,</w:t>
      </w:r>
    </w:p>
    <w:p>
      <w:pPr>
        <w:pStyle w:val="BodyText"/>
        <w:spacing w:before="0" w:after="80" w:line="300" w:lineRule="auto"/>
        <w:ind w:firstLine="0"/>
      </w:pPr>
      <w:r>
        <w:rPr>
          <w:b/>
          <w:bCs/>
          <w:rFonts w:ascii="Times New Roman" w:hAnsi="Times New Roman" w:eastAsia="Times New Roman" w:cs="Times New Roman"/>
          <w:color w:val="2D3748"/>
          <w:sz w:val="20"/>
        </w:rPr>
        <w:t xml:space="preserve">Fanchun Meng (Grit Meng)</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Former Lead Architect &amp; Head of Global Supply Chain Integrated Planning Solution (IPS) System, Lenovo Group</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Creator of Intelligent Planning &amp; Control (IPC) Engine</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E-mail: gritmeng@outlook.com</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ORCID: https://orcid.org/0009-0003-8603-119X</w:t>
      </w:r>
      <w:r>
        <w:rPr>
          <w:rFonts w:ascii="Times New Roman" w:hAnsi="Times New Roman" w:eastAsia="Times New Roman" w:cs="Times New Roman"/>
          <w:color w:val="2D3748"/>
          <w:sz w:val="20"/>
        </w:rPr>
        <w:br/>
      </w:r>
      <w:r>
        <w:rPr>
          <w:rFonts w:ascii="Times New Roman" w:hAnsi="Times New Roman" w:eastAsia="Times New Roman" w:cs="Times New Roman"/>
          <w:color w:val="2D3748"/>
          <w:sz w:val="20"/>
        </w:rPr>
        <w:t xml:space="preserve">GitHub: https://github.com/GritMeng/Value-Chain-Physics</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2026-09-21T03:57:11Z</dcterms:created>
  <dcterms:modified xsi:type="dcterms:W3CDTF">2026-09-21T03:57:11Z</dcterms:modified>
</cp:coreProperties>
</file>

<file path=docProps/custom.xml><?xml version="1.0" encoding="utf-8"?>
<Properties xmlns="http://schemas.openxmlformats.org/officeDocument/2006/custom-properties" xmlns:vt="http://schemas.openxmlformats.org/officeDocument/2006/docPropsVTypes"/>
</file>