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C700E" w14:textId="77777777" w:rsidR="00DA2681" w:rsidRDefault="00000000">
      <w:pPr>
        <w:pStyle w:val="1"/>
        <w:spacing w:before="320" w:after="120"/>
      </w:pPr>
      <w:bookmarkStart w:id="0" w:name="X52497add18316e15c3fdf21e709557f5a96861e"/>
      <w:r>
        <w:rPr>
          <w:rFonts w:ascii="Times New Roman" w:hAnsi="Times New Roman"/>
          <w:b/>
          <w:color w:val="111111"/>
          <w:sz w:val="26"/>
        </w:rPr>
        <w:t>The Productivity Paradox of Capital Returns in Enterprise Value Networks: Formal Proofs and Universal Computability of Open Complex Giant Systems via Non-IID State-Space Modeling</w:t>
      </w:r>
    </w:p>
    <w:p w14:paraId="69836A47" w14:textId="77777777" w:rsidR="00DA2681" w:rsidRDefault="00000000">
      <w:pPr>
        <w:pStyle w:val="FirstParagraph"/>
        <w:spacing w:after="80" w:line="276" w:lineRule="auto"/>
      </w:pPr>
      <w:r>
        <w:rPr>
          <w:rFonts w:ascii="Times New Roman" w:hAnsi="Times New Roman"/>
          <w:b/>
          <w:bCs/>
          <w:sz w:val="21"/>
        </w:rPr>
        <w:t>Fanchun Meng (Grit Meng)</w:t>
      </w:r>
      <w:r>
        <w:rPr>
          <w:rFonts w:ascii="Times New Roman" w:hAnsi="Times New Roman"/>
          <w:sz w:val="21"/>
        </w:rPr>
        <w:br/>
      </w:r>
      <w:r>
        <w:rPr>
          <w:rFonts w:ascii="Times New Roman" w:hAnsi="Times New Roman"/>
          <w:i/>
          <w:iCs/>
          <w:sz w:val="21"/>
        </w:rPr>
        <w:t>Department of Intelligent Planning &amp; Control (IPC) / Independent Researcher, Beijing, China</w:t>
      </w:r>
      <w:r>
        <w:rPr>
          <w:rFonts w:ascii="Times New Roman" w:hAnsi="Times New Roman"/>
          <w:sz w:val="21"/>
        </w:rPr>
        <w:br/>
      </w:r>
      <w:r>
        <w:rPr>
          <w:rFonts w:ascii="Times New Roman" w:hAnsi="Times New Roman"/>
          <w:i/>
          <w:iCs/>
          <w:sz w:val="21"/>
        </w:rPr>
        <w:t xml:space="preserve">SSRN Working Paper Version: </w:t>
      </w:r>
      <w:hyperlink r:id="rId7">
        <w:r>
          <w:rPr>
            <w:rStyle w:val="af"/>
            <w:i/>
            <w:iCs/>
          </w:rPr>
          <w:t>Abstract ID 7251098</w:t>
        </w:r>
      </w:hyperlink>
      <w:r>
        <w:rPr>
          <w:rFonts w:ascii="Times New Roman" w:hAnsi="Times New Roman"/>
          <w:i/>
          <w:iCs/>
          <w:sz w:val="21"/>
        </w:rPr>
        <w:t xml:space="preserve"> | Zenodo Monograph Archive: </w:t>
      </w:r>
      <w:hyperlink r:id="rId8">
        <w:r>
          <w:rPr>
            <w:rStyle w:val="af"/>
            <w:i/>
            <w:iCs/>
          </w:rPr>
          <w:t>DOI: 10.5281/zenodo.22033928</w:t>
        </w:r>
      </w:hyperlink>
    </w:p>
    <w:p w14:paraId="7191118A" w14:textId="77777777" w:rsidR="00DA2681" w:rsidRDefault="00000000">
      <w:pPr>
        <w:spacing w:after="80" w:line="276" w:lineRule="auto"/>
      </w:pPr>
      <w:r>
        <w:rPr>
          <w:rFonts w:ascii="Times New Roman" w:hAnsi="Times New Roman"/>
          <w:sz w:val="21"/>
        </w:rPr>
        <w:pict w14:anchorId="33C72B0B">
          <v:rect id="_x0000_i1025" style="width:0;height:1.5pt" o:hralign="center" o:hrstd="t" o:hr="t"/>
        </w:pict>
      </w:r>
    </w:p>
    <w:p w14:paraId="655AC814" w14:textId="77777777" w:rsidR="00DA2681" w:rsidRDefault="00000000">
      <w:pPr>
        <w:pStyle w:val="2"/>
        <w:spacing w:before="240"/>
      </w:pPr>
      <w:bookmarkStart w:id="1" w:name="abstract"/>
      <w:r>
        <w:rPr>
          <w:rFonts w:ascii="Times New Roman" w:hAnsi="Times New Roman"/>
          <w:b/>
          <w:color w:val="222222"/>
          <w:sz w:val="23"/>
        </w:rPr>
        <w:t>Abstract</w:t>
      </w:r>
    </w:p>
    <w:p w14:paraId="66BA854C" w14:textId="77777777" w:rsidR="00DA2681" w:rsidRDefault="00000000">
      <w:pPr>
        <w:pStyle w:val="FirstParagraph"/>
        <w:spacing w:after="80" w:line="276" w:lineRule="auto"/>
      </w:pPr>
      <w:bookmarkStart w:id="2" w:name="OLE_LINK1"/>
      <w:r>
        <w:rPr>
          <w:rFonts w:ascii="Times New Roman" w:hAnsi="Times New Roman"/>
          <w:sz w:val="21"/>
        </w:rPr>
        <w:t xml:space="preserve">Over the past two decades, massive enterprise capital investments in information technology and digital transformation have failed to universally drive proportional increases in Return on Invested Capital (ROIC), resurrecting the “Productivity Paradox” in the era of industrial intelligence. Bridging </w:t>
      </w:r>
      <w:r>
        <w:rPr>
          <w:rFonts w:ascii="Times New Roman" w:hAnsi="Times New Roman"/>
          <w:b/>
          <w:bCs/>
          <w:sz w:val="21"/>
        </w:rPr>
        <w:t>Value Chain Management</w:t>
      </w:r>
      <w:r>
        <w:rPr>
          <w:rFonts w:ascii="Times New Roman" w:hAnsi="Times New Roman"/>
          <w:sz w:val="21"/>
        </w:rPr>
        <w:t xml:space="preserve"> and </w:t>
      </w:r>
      <w:r>
        <w:rPr>
          <w:rFonts w:ascii="Times New Roman" w:hAnsi="Times New Roman"/>
          <w:b/>
          <w:bCs/>
          <w:sz w:val="21"/>
        </w:rPr>
        <w:t>Systems Science</w:t>
      </w:r>
      <w:r>
        <w:rPr>
          <w:rFonts w:ascii="Times New Roman" w:hAnsi="Times New Roman"/>
          <w:sz w:val="21"/>
        </w:rPr>
        <w:t xml:space="preserve">, this paper identifies the root cause as a structural mismatch in underlying paradigms: conventional enterprise architecture and management models assume “Independent and Identically Distributed (IID)” weak coupling among functional modules, whereas real-world discrete manufacturing value networks are intrinsically </w:t>
      </w:r>
      <w:r>
        <w:rPr>
          <w:rFonts w:ascii="Times New Roman" w:hAnsi="Times New Roman"/>
          <w:b/>
          <w:bCs/>
          <w:sz w:val="21"/>
        </w:rPr>
        <w:t>Non-IID, high-dimensional, strongly-coupled Open Complex Giant Systems (OCGS)</w:t>
      </w:r>
      <w:r>
        <w:rPr>
          <w:rFonts w:ascii="Times New Roman" w:hAnsi="Times New Roman"/>
          <w:sz w:val="21"/>
        </w:rPr>
        <w:t>.</w:t>
      </w:r>
    </w:p>
    <w:p w14:paraId="1C98B33E" w14:textId="77777777" w:rsidR="00DA2681" w:rsidRDefault="00000000">
      <w:pPr>
        <w:pStyle w:val="a0"/>
        <w:spacing w:after="80" w:line="276" w:lineRule="auto"/>
      </w:pPr>
      <w:r>
        <w:rPr>
          <w:rFonts w:ascii="Times New Roman" w:hAnsi="Times New Roman"/>
          <w:sz w:val="21"/>
        </w:rPr>
        <w:t xml:space="preserve">Grounded in systems science first principles, we establish </w:t>
      </w:r>
      <w:r>
        <w:rPr>
          <w:rFonts w:ascii="Times New Roman" w:hAnsi="Times New Roman"/>
          <w:b/>
          <w:bCs/>
          <w:sz w:val="21"/>
        </w:rPr>
        <w:t>“Value Chain Physics”</w:t>
      </w:r>
      <w:r>
        <w:rPr>
          <w:rFonts w:ascii="Times New Roman" w:hAnsi="Times New Roman"/>
          <w:sz w:val="21"/>
        </w:rPr>
        <w:t xml:space="preserve"> as the concrete domain projection of systems science in physical enterprise networks. We construct a </w:t>
      </w:r>
      <w:r>
        <w:rPr>
          <w:rFonts w:ascii="Times New Roman" w:hAnsi="Times New Roman"/>
          <w:b/>
          <w:bCs/>
          <w:sz w:val="21"/>
        </w:rPr>
        <w:t>Systemically Complete and Irreducible (SCI)</w:t>
      </w:r>
      <w:r>
        <w:rPr>
          <w:rFonts w:ascii="Times New Roman" w:hAnsi="Times New Roman"/>
          <w:sz w:val="21"/>
        </w:rPr>
        <w:t xml:space="preserve"> five-dimensional topological manifold </w:t>
      </w:r>
      <m:oMath>
        <m:r>
          <m:rPr>
            <m:scr m:val="script"/>
            <m:sty m:val="p"/>
          </m:rPr>
          <w:rPr>
            <w:rFonts w:ascii="Cambria Math" w:hAnsi="Cambria Math"/>
          </w:rPr>
          <m:t>M(</m:t>
        </m:r>
        <m:r>
          <w:rPr>
            <w:rFonts w:ascii="Cambria Math" w:hAnsi="Cambria Math"/>
          </w:rPr>
          <m:t>t</m:t>
        </m:r>
        <m:r>
          <m:rPr>
            <m:scr m:val="script"/>
            <m:sty m:val="p"/>
          </m:rPr>
          <w:rPr>
            <w:rFonts w:ascii="Cambria Math" w:hAnsi="Cambria Math"/>
          </w:rPr>
          <m:t>)=⟨N,T,C,</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),Δ</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ascii="Times New Roman" w:hAnsi="Times New Roman"/>
          <w:sz w:val="21"/>
        </w:rPr>
        <w:t xml:space="preserve">. The non-orthogonal interference across these five dimensions is proven to be the physical origin of control vector “Vector Cancellation” under multi-departmental local optimization, generating internal dissipative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∥&gt;</m:t>
        </m:r>
        <m:r>
          <w:rPr>
            <w:rFonts w:ascii="Cambria Math" w:hAnsi="Cambria Math"/>
          </w:rPr>
          <m:t>0</m:t>
        </m:r>
      </m:oMath>
      <w:r>
        <w:rPr>
          <w:rFonts w:ascii="Times New Roman" w:hAnsi="Times New Roman"/>
          <w:sz w:val="21"/>
        </w:rPr>
        <w:t xml:space="preserve"> that erodes ROIC.</w:t>
      </w:r>
    </w:p>
    <w:p w14:paraId="292103F4" w14:textId="77777777" w:rsidR="00DA2681" w:rsidRDefault="00000000">
      <w:pPr>
        <w:pStyle w:val="a0"/>
        <w:spacing w:after="80" w:line="276" w:lineRule="auto"/>
      </w:pPr>
      <w:r>
        <w:rPr>
          <w:rFonts w:ascii="Times New Roman" w:hAnsi="Times New Roman"/>
          <w:sz w:val="21"/>
        </w:rPr>
        <w:t xml:space="preserve">Furthermore, we propose a </w:t>
      </w:r>
      <w:r>
        <w:rPr>
          <w:rFonts w:ascii="Times New Roman" w:hAnsi="Times New Roman"/>
          <w:b/>
          <w:bCs/>
          <w:sz w:val="21"/>
        </w:rPr>
        <w:t>5D Double-Helix Architecture</w:t>
      </w:r>
      <w:r>
        <w:rPr>
          <w:rFonts w:ascii="Times New Roman" w:hAnsi="Times New Roman"/>
          <w:sz w:val="21"/>
        </w:rPr>
        <w:t xml:space="preserve"> intertwining a Holographic Data Model (Left Helix) and a Dynamic Evolution Algorithm (Right Helix). The Prior Partition Operator </w:t>
      </w:r>
      <m:oMath>
        <m:r>
          <m:rPr>
            <m:sty m:val="b"/>
          </m:rPr>
          <w:rPr>
            <w:rFonts w:ascii="Cambria Math" w:hAnsi="Cambria Math"/>
          </w:rPr>
          <m:t>Π</m:t>
        </m:r>
      </m:oMath>
      <w:r>
        <w:rPr>
          <w:rFonts w:ascii="Times New Roman" w:hAnsi="Times New Roman"/>
          <w:sz w:val="21"/>
        </w:rPr>
        <w:t xml:space="preserve"> projects the factorial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rFonts w:ascii="Times New Roman" w:hAnsi="Times New Roman"/>
          <w:sz w:val="21"/>
        </w:rPr>
        <w:t xml:space="preserve"> search space onto a bounded feasible space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feasible</m:t>
            </m:r>
          </m:sub>
        </m:sSub>
      </m:oMath>
      <w:r>
        <w:rPr>
          <w:rFonts w:ascii="Times New Roman" w:hAnsi="Times New Roman"/>
          <w:sz w:val="21"/>
        </w:rPr>
        <w:t xml:space="preserve"> via Directed Acyclic Graph (DAG) topological ordering. The Rigid Manifold Operator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rPr>
          <w:rFonts w:ascii="Times New Roman" w:hAnsi="Times New Roman"/>
          <w:sz w:val="21"/>
        </w:rPr>
        <w:t xml:space="preserve"> strips normal non-orthogonal internal friction degrees of freedom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rPr>
          <w:rFonts w:ascii="Times New Roman" w:hAnsi="Times New Roman"/>
          <w:sz w:val="21"/>
        </w:rPr>
        <w:t xml:space="preserve">), reducing search complexity to polynomial scale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Times New Roman" w:hAnsi="Times New Roman"/>
          <w:sz w:val="21"/>
        </w:rPr>
        <w:t xml:space="preserve"> (with an empirical upper bound of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Times New Roman" w:hAnsi="Times New Roman"/>
          <w:sz w:val="21"/>
        </w:rPr>
        <w:t xml:space="preserve"> for bounded treewidth networks). In the continuous Banach space </w:t>
      </w:r>
      <m:oMath>
        <m:r>
          <m:rPr>
            <m:sty m:val="p"/>
          </m:rPr>
          <w:rPr>
            <w:rFonts w:ascii="Cambria Math" w:hAnsi="Cambria Math"/>
          </w:rPr>
          <m:t>(Ω,∥⋅</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w:r>
        <w:rPr>
          <w:rFonts w:ascii="Times New Roman" w:hAnsi="Times New Roman"/>
          <w:sz w:val="21"/>
        </w:rPr>
        <w:t xml:space="preserve">, we prove the unique existence and exponential convergence of a closed-loop steady state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Pr>
          <w:rFonts w:ascii="Times New Roman" w:hAnsi="Times New Roman"/>
          <w:sz w:val="21"/>
        </w:rPr>
        <w:t xml:space="preserve"> via the </w:t>
      </w:r>
      <w:r>
        <w:rPr>
          <w:rFonts w:ascii="Times New Roman" w:hAnsi="Times New Roman"/>
          <w:b/>
          <w:bCs/>
          <w:sz w:val="21"/>
        </w:rPr>
        <w:t>Banach Contraction Mapping Theorem</w:t>
      </w:r>
      <w:r>
        <w:rPr>
          <w:rFonts w:ascii="Times New Roman" w:hAnsi="Times New Roman"/>
          <w:sz w:val="21"/>
        </w:rPr>
        <w:t xml:space="preserve">, guarded by a </w:t>
      </w:r>
      <w:r>
        <w:rPr>
          <w:rFonts w:ascii="Times New Roman" w:hAnsi="Times New Roman"/>
          <w:b/>
          <w:bCs/>
          <w:sz w:val="21"/>
        </w:rPr>
        <w:t xml:space="preserve">Compact Support Projection Operator </w:t>
      </w:r>
      <m:oMath>
        <m:sSub>
          <m:sSubPr>
            <m:ctrlPr>
              <w:rPr>
                <w:rFonts w:ascii="Cambria Math" w:hAnsi="Cambria Math"/>
              </w:rPr>
            </m:ctrlPr>
          </m:sSubPr>
          <m:e>
            <m:r>
              <m:rPr>
                <m:sty m:val="bi"/>
              </m:rPr>
              <w:rPr>
                <w:rFonts w:ascii="Cambria Math" w:hAnsi="Cambria Math"/>
              </w:rPr>
              <m:t>E</m:t>
            </m:r>
          </m:e>
          <m:sub>
            <m:r>
              <m:rPr>
                <m:sty m:val="p"/>
              </m:rPr>
              <w:rPr>
                <w:rFonts w:ascii="Cambria Math" w:hAnsi="Cambria Math"/>
              </w:rPr>
              <m:t>supp</m:t>
            </m:r>
          </m:sub>
        </m:sSub>
      </m:oMath>
      <w:r>
        <w:rPr>
          <w:rFonts w:ascii="Times New Roman" w:hAnsi="Times New Roman"/>
          <w:sz w:val="21"/>
        </w:rPr>
        <w:t xml:space="preserve"> that truncates heavy-tailed residual distributions to mitigate Goodhart’s Law collapse.</w:t>
      </w:r>
    </w:p>
    <w:p w14:paraId="72A1647B" w14:textId="77777777" w:rsidR="00DA2681" w:rsidRDefault="00000000">
      <w:pPr>
        <w:pStyle w:val="a0"/>
        <w:spacing w:after="80" w:line="276" w:lineRule="auto"/>
      </w:pPr>
      <w:r>
        <w:rPr>
          <w:rFonts w:ascii="Times New Roman" w:hAnsi="Times New Roman"/>
          <w:sz w:val="21"/>
        </w:rPr>
        <w:t>Finally, under explicit mathematical conditions (</w:t>
      </w:r>
      <m:oMath>
        <m:r>
          <m:rPr>
            <m:sty m:val="b"/>
          </m:rPr>
          <w:rPr>
            <w:rFonts w:ascii="Cambria Math" w:hAnsi="Cambria Math"/>
          </w:rPr>
          <m:t>Π</m:t>
        </m:r>
      </m:oMath>
      <w:r>
        <w:rPr>
          <w:rFonts w:ascii="Times New Roman" w:hAnsi="Times New Roman"/>
          <w:sz w:val="21"/>
        </w:rPr>
        <w:t xml:space="preserve"> partitioning,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rPr>
          <w:rFonts w:ascii="Times New Roman" w:hAnsi="Times New Roman"/>
          <w:sz w:val="21"/>
        </w:rPr>
        <w:t xml:space="preserve"> constraints, spectral radius </w:t>
      </w:r>
      <m:oMath>
        <m:r>
          <w:rPr>
            <w:rFonts w:ascii="Cambria Math" w:hAnsi="Cambria Math"/>
          </w:rPr>
          <m:t>ρ</m:t>
        </m:r>
        <m:r>
          <m:rPr>
            <m:sty m:val="p"/>
          </m:rPr>
          <w:rPr>
            <w:rFonts w:ascii="Cambria Math" w:hAnsi="Cambria Math"/>
          </w:rPr>
          <m:t>(</m:t>
        </m:r>
        <m:r>
          <m:rPr>
            <m:sty m:val="bi"/>
          </m:rPr>
          <w:rPr>
            <w:rFonts w:ascii="Cambria Math" w:hAnsi="Cambria Math"/>
          </w:rPr>
          <m:t>A</m:t>
        </m:r>
        <m:r>
          <m:rPr>
            <m:sty m:val="p"/>
          </m:rPr>
          <w:rPr>
            <w:rFonts w:ascii="Cambria Math" w:hAnsi="Cambria Math"/>
          </w:rPr>
          <m:t>)&lt;</m:t>
        </m:r>
        <m:r>
          <w:rPr>
            <w:rFonts w:ascii="Cambria Math" w:hAnsi="Cambria Math"/>
          </w:rPr>
          <m:t>1</m:t>
        </m:r>
      </m:oMath>
      <w:r>
        <w:rPr>
          <w:rFonts w:ascii="Times New Roman" w:hAnsi="Times New Roman"/>
          <w:sz w:val="21"/>
        </w:rPr>
        <w:t xml:space="preserve">, and human second-order meta-introspection </w:t>
      </w:r>
      <m:oMath>
        <m:r>
          <m:rPr>
            <m:sty m:val="b"/>
          </m:rPr>
          <w:rPr>
            <w:rFonts w:ascii="Cambria Math" w:hAnsi="Cambria Math"/>
          </w:rPr>
          <m:t>Φ</m:t>
        </m:r>
      </m:oMath>
      <w:r>
        <w:rPr>
          <w:rFonts w:ascii="Times New Roman" w:hAnsi="Times New Roman"/>
          <w:sz w:val="21"/>
        </w:rPr>
        <w:t xml:space="preserve">), we provide </w:t>
      </w:r>
      <w:r>
        <w:rPr>
          <w:rFonts w:ascii="Times New Roman" w:hAnsi="Times New Roman"/>
          <w:b/>
          <w:bCs/>
          <w:sz w:val="21"/>
        </w:rPr>
        <w:t>formal mathematical proofs for the necessary and sufficient conditions of Qian Xuesen’s three core OCGS principles</w:t>
      </w:r>
      <w:r>
        <w:rPr>
          <w:rFonts w:ascii="Times New Roman" w:hAnsi="Times New Roman"/>
          <w:sz w:val="21"/>
        </w:rPr>
        <w:t xml:space="preserve"> (Overall Design Department, Hall of Workshop for Decision Support, and Human-Machine Integration with Human-in-the-Lead). Empirical verification across a 10-year longitudinal field deployment (2015–2024) across Lenovo’s global manufacturing network (including the WEF Lighthouse Factory in Hefei) and third-party audited financial metrics confirms </w:t>
      </w:r>
      <w:r>
        <w:rPr>
          <w:rFonts w:ascii="Times New Roman" w:hAnsi="Times New Roman"/>
          <w:sz w:val="21"/>
        </w:rPr>
        <w:lastRenderedPageBreak/>
        <w:t>that closed-loop autonomous decision-making (“human-out-of-the-loop” execution) dramatically reduces stoppage frequencies, releases RMB 3.5+ billion in NWC, and drives sustained ROIC elevation.</w:t>
      </w:r>
    </w:p>
    <w:p w14:paraId="3498AF68" w14:textId="77777777" w:rsidR="00DA2681" w:rsidRDefault="00000000">
      <w:pPr>
        <w:pStyle w:val="a0"/>
        <w:spacing w:after="80" w:line="276" w:lineRule="auto"/>
      </w:pPr>
      <w:r>
        <w:rPr>
          <w:rFonts w:ascii="Times New Roman" w:hAnsi="Times New Roman"/>
          <w:b/>
          <w:bCs/>
          <w:sz w:val="21"/>
        </w:rPr>
        <w:t>Keywords</w:t>
      </w:r>
      <w:r>
        <w:rPr>
          <w:rFonts w:ascii="Times New Roman" w:hAnsi="Times New Roman"/>
          <w:sz w:val="21"/>
        </w:rPr>
        <w:t>: Non-IID Learning; Value Chain Physics; Systemically Complete and Irreducible (SCI); Open Complex Giant Systems (OCGS); Formal Proofs; Ablation Study; Universal Computability; ROIC Paradox</w:t>
      </w:r>
    </w:p>
    <w:bookmarkEnd w:id="2"/>
    <w:p w14:paraId="608DF1D6" w14:textId="77777777" w:rsidR="00DA2681" w:rsidRDefault="00000000">
      <w:pPr>
        <w:spacing w:after="80" w:line="276" w:lineRule="auto"/>
      </w:pPr>
      <w:r>
        <w:rPr>
          <w:rFonts w:ascii="Times New Roman" w:hAnsi="Times New Roman"/>
          <w:sz w:val="21"/>
        </w:rPr>
        <w:pict w14:anchorId="7ACB1FE1">
          <v:rect id="_x0000_i1026" style="width:0;height:1.5pt" o:hralign="center" o:hrstd="t" o:hr="t"/>
        </w:pict>
      </w:r>
    </w:p>
    <w:p w14:paraId="40837C67" w14:textId="77777777" w:rsidR="00DA2681" w:rsidRDefault="00000000">
      <w:pPr>
        <w:pStyle w:val="2"/>
        <w:spacing w:before="320" w:after="120"/>
      </w:pPr>
      <w:bookmarkStart w:id="3" w:name="Xd1f1b9bbcff7f7914f6de4dd0dbd192e11d62fc"/>
      <w:bookmarkEnd w:id="1"/>
      <w:r>
        <w:rPr>
          <w:rFonts w:ascii="Times New Roman" w:hAnsi="Times New Roman"/>
          <w:b/>
          <w:color w:val="111111"/>
          <w:sz w:val="26"/>
        </w:rPr>
        <w:t>1. Introduction: From Non-IID Physical Reality to Value Chain Physics</w:t>
      </w:r>
    </w:p>
    <w:p w14:paraId="0F485735" w14:textId="77777777" w:rsidR="00DA2681" w:rsidRDefault="00000000">
      <w:pPr>
        <w:pStyle w:val="FirstParagraph"/>
        <w:spacing w:after="80" w:line="276" w:lineRule="auto"/>
      </w:pPr>
      <w:r>
        <w:rPr>
          <w:rFonts w:ascii="Times New Roman" w:hAnsi="Times New Roman"/>
          <w:sz w:val="21"/>
        </w:rPr>
        <w:t>In modern enterprise management and industrial engineering, Return on Invested Capital (ROIC) serves as the primary physical metric evaluating operational efficiency and capital allocation efficacy:</w:t>
      </w:r>
    </w:p>
    <w:p w14:paraId="65465349" w14:textId="77777777" w:rsidR="00DA2681" w:rsidRDefault="00000000">
      <w:pPr>
        <w:pStyle w:val="a0"/>
        <w:spacing w:after="80" w:line="276" w:lineRule="auto"/>
      </w:pPr>
      <m:oMathPara>
        <m:oMathParaPr>
          <m:jc m:val="center"/>
        </m:oMathParaPr>
        <m:oMath>
          <m:r>
            <m:rPr>
              <m:nor/>
            </m:rPr>
            <m:t>ROIC</m:t>
          </m:r>
          <m:r>
            <m:rPr>
              <m:sty m:val="p"/>
            </m:rPr>
            <w:rPr>
              <w:rFonts w:ascii="Cambria Math" w:hAnsi="Cambria Math"/>
            </w:rPr>
            <m:t>=</m:t>
          </m:r>
          <m:f>
            <m:fPr>
              <m:ctrlPr>
                <w:rPr>
                  <w:rFonts w:ascii="Cambria Math" w:hAnsi="Cambria Math"/>
                </w:rPr>
              </m:ctrlPr>
            </m:fPr>
            <m:num>
              <m:r>
                <m:rPr>
                  <m:nor/>
                </m:rPr>
                <m:t>NOPAT</m:t>
              </m:r>
            </m:num>
            <m:den>
              <m:r>
                <m:rPr>
                  <m:nor/>
                </m:rPr>
                <m:t>Invested Capital</m:t>
              </m:r>
            </m:den>
          </m:f>
          <m:r>
            <m:rPr>
              <m:sty m:val="p"/>
            </m:rPr>
            <w:rPr>
              <w:rFonts w:ascii="Cambria Math" w:hAnsi="Cambria Math"/>
            </w:rPr>
            <m:t>=</m:t>
          </m:r>
          <m:f>
            <m:fPr>
              <m:ctrlPr>
                <w:rPr>
                  <w:rFonts w:ascii="Cambria Math" w:hAnsi="Cambria Math"/>
                </w:rPr>
              </m:ctrlPr>
            </m:fPr>
            <m:num>
              <m:r>
                <m:rPr>
                  <m:nor/>
                </m:rPr>
                <m:t>Net Operating Profit After Tax (NOPAT)</m:t>
              </m:r>
            </m:num>
            <m:den>
              <m:r>
                <m:rPr>
                  <m:nor/>
                </m:rPr>
                <m:t>Fixed Assets</m:t>
              </m:r>
              <m:r>
                <m:rPr>
                  <m:sty m:val="p"/>
                </m:rPr>
                <w:rPr>
                  <w:rFonts w:ascii="Cambria Math" w:hAnsi="Cambria Math"/>
                </w:rPr>
                <m:t>+</m:t>
              </m:r>
              <m:r>
                <m:rPr>
                  <m:nor/>
                </m:rPr>
                <m:t>Net Working Capital (NWC)</m:t>
              </m:r>
            </m:den>
          </m:f>
        </m:oMath>
      </m:oMathPara>
    </w:p>
    <w:p w14:paraId="55F5F8DA" w14:textId="77777777" w:rsidR="00DA2681" w:rsidRDefault="00000000">
      <w:pPr>
        <w:pStyle w:val="FirstParagraph"/>
        <w:spacing w:after="80" w:line="276" w:lineRule="auto"/>
      </w:pPr>
      <w:r>
        <w:rPr>
          <w:rFonts w:ascii="Times New Roman" w:hAnsi="Times New Roman"/>
          <w:sz w:val="21"/>
        </w:rPr>
        <w:t>Over the past decade, enterprise capital expenditures in enterprise resource planning (ERP), advanced planning and scheduling (APS), manufacturing execution systems (MES), warehouse management systems (WMS), supplier relationship management (SRM), and supply chain control towers have expanded at a compound annual growth rate exceeding 15%. Paradoxically, average manufacturing ROIC declined from 8% to below 5%, with approximately 70% of digital transformation initiatives failing to meet expected financial returns. This represents the manifestation of Brynjolfsson’s (1993) “IT Productivity Paradox” in industrial intelligence.</w:t>
      </w:r>
    </w:p>
    <w:p w14:paraId="58589B29" w14:textId="77777777" w:rsidR="00DA2681" w:rsidRDefault="00000000">
      <w:pPr>
        <w:pStyle w:val="a0"/>
        <w:spacing w:after="80" w:line="276" w:lineRule="auto"/>
      </w:pPr>
      <w:r>
        <w:rPr>
          <w:rFonts w:ascii="Times New Roman" w:hAnsi="Times New Roman"/>
          <w:sz w:val="21"/>
        </w:rPr>
        <w:t xml:space="preserve">Existing literature frequently attributes implementation failures to organizational inertia, communication barriers, or data quality defects. In contrast, this paper argues that the fundamental root cause lies in a </w:t>
      </w:r>
      <w:r>
        <w:rPr>
          <w:rFonts w:ascii="Times New Roman" w:hAnsi="Times New Roman"/>
          <w:b/>
          <w:bCs/>
          <w:sz w:val="21"/>
        </w:rPr>
        <w:t>paradigm breakdown between value chain management and underlying systems science</w:t>
      </w:r>
      <w:r>
        <w:rPr>
          <w:rFonts w:ascii="Times New Roman" w:hAnsi="Times New Roman"/>
          <w:sz w:val="21"/>
        </w:rPr>
        <w:t>:</w:t>
      </w:r>
    </w:p>
    <w:p w14:paraId="5A45572C" w14:textId="77777777" w:rsidR="00DA2681" w:rsidRDefault="00000000">
      <w:pPr>
        <w:pStyle w:val="Compact"/>
        <w:numPr>
          <w:ilvl w:val="0"/>
          <w:numId w:val="2"/>
        </w:numPr>
        <w:spacing w:after="80" w:line="276" w:lineRule="auto"/>
      </w:pPr>
      <w:r>
        <w:rPr>
          <w:rFonts w:ascii="Times New Roman" w:hAnsi="Times New Roman"/>
          <w:b/>
          <w:bCs/>
          <w:sz w:val="21"/>
        </w:rPr>
        <w:t>The IID Static Assumption</w:t>
      </w:r>
      <w:r>
        <w:rPr>
          <w:rFonts w:ascii="Times New Roman" w:hAnsi="Times New Roman"/>
          <w:sz w:val="21"/>
        </w:rPr>
        <w:t xml:space="preserve">: Since Taylorism and modern modular enterprise architectures (e.g., 4A frameworks, Business Process Management BPM, Sales and Operations Planning S&amp;OP, Balanced Scorecards BSC), management engineering has partitioned enterprises into functional silos (procurement, production, sales, finance), implicitly assuming that operational state evolutions follow </w:t>
      </w:r>
      <w:r>
        <w:rPr>
          <w:rFonts w:ascii="Times New Roman" w:hAnsi="Times New Roman"/>
          <w:b/>
          <w:bCs/>
          <w:sz w:val="21"/>
        </w:rPr>
        <w:t>Independent and Identically Distributed (IID)</w:t>
      </w:r>
      <w:r>
        <w:rPr>
          <w:rFonts w:ascii="Times New Roman" w:hAnsi="Times New Roman"/>
          <w:sz w:val="21"/>
        </w:rPr>
        <w:t xml:space="preserve"> orthogonal distributions.</w:t>
      </w:r>
    </w:p>
    <w:p w14:paraId="312E26AD" w14:textId="77777777" w:rsidR="00DA2681" w:rsidRDefault="00000000">
      <w:pPr>
        <w:pStyle w:val="Compact"/>
        <w:numPr>
          <w:ilvl w:val="0"/>
          <w:numId w:val="2"/>
        </w:numPr>
        <w:spacing w:after="80" w:line="276" w:lineRule="auto"/>
      </w:pPr>
      <w:r>
        <w:rPr>
          <w:rFonts w:ascii="Times New Roman" w:hAnsi="Times New Roman"/>
          <w:b/>
          <w:bCs/>
          <w:sz w:val="21"/>
        </w:rPr>
        <w:t>Non-IID Physical Reality &amp; OCGS Challenges</w:t>
      </w:r>
      <w:r>
        <w:rPr>
          <w:rFonts w:ascii="Times New Roman" w:hAnsi="Times New Roman"/>
          <w:sz w:val="21"/>
        </w:rPr>
        <w:t xml:space="preserve">: In real-world discrete manufacturing value networks, material kitting, equipment capacity, order delivery lead times, and cash flows exhibit intense non-linear topological entanglement (Cao, 2014, 2022). The enterprise is fundamentally an </w:t>
      </w:r>
      <w:r>
        <w:rPr>
          <w:rFonts w:ascii="Times New Roman" w:hAnsi="Times New Roman"/>
          <w:b/>
          <w:bCs/>
          <w:sz w:val="21"/>
        </w:rPr>
        <w:t>Open Complex Giant System (OCGS)</w:t>
      </w:r>
      <w:r>
        <w:rPr>
          <w:rFonts w:ascii="Times New Roman" w:hAnsi="Times New Roman"/>
          <w:sz w:val="21"/>
        </w:rPr>
        <w:t xml:space="preserve"> characterized by </w:t>
      </w:r>
      <w:r>
        <w:rPr>
          <w:rFonts w:ascii="Times New Roman" w:hAnsi="Times New Roman"/>
          <w:b/>
          <w:bCs/>
          <w:sz w:val="21"/>
        </w:rPr>
        <w:t>Non-IID</w:t>
      </w:r>
      <w:r>
        <w:rPr>
          <w:rFonts w:ascii="Times New Roman" w:hAnsi="Times New Roman"/>
          <w:sz w:val="21"/>
        </w:rPr>
        <w:t xml:space="preserve"> dynamics, as defined by Qian Xuesen et al. (1990).</w:t>
      </w:r>
    </w:p>
    <w:p w14:paraId="528E7FB5" w14:textId="77777777" w:rsidR="00DA2681" w:rsidRDefault="00000000">
      <w:pPr>
        <w:pStyle w:val="FirstParagraph"/>
        <w:spacing w:after="80" w:line="276" w:lineRule="auto"/>
      </w:pPr>
      <w:r>
        <w:rPr>
          <w:rFonts w:ascii="Times New Roman" w:hAnsi="Times New Roman"/>
          <w:sz w:val="21"/>
        </w:rPr>
        <w:t xml:space="preserve">Attempting to navigate a Non-IID, strongly-coupled physical world using IID-based planar tools inevitably causes multi-departmental Key Performance Indicators (KPIs) to pull in non-orthogonal directions. This induces dynamic Vector Cancellation and internal dissipative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oMath>
      <w:r>
        <w:rPr>
          <w:rFonts w:ascii="Times New Roman" w:hAnsi="Times New Roman"/>
          <w:sz w:val="21"/>
        </w:rPr>
        <w:t>, trapping the enterprise in a low-efficiency Nash equilibrium.</w:t>
      </w:r>
    </w:p>
    <w:p w14:paraId="3FC619D2" w14:textId="77777777" w:rsidR="00DA2681" w:rsidRDefault="00000000">
      <w:pPr>
        <w:pStyle w:val="a0"/>
        <w:spacing w:after="80" w:line="276" w:lineRule="auto"/>
      </w:pPr>
      <w:r>
        <w:rPr>
          <w:rFonts w:ascii="Times New Roman" w:hAnsi="Times New Roman"/>
          <w:sz w:val="21"/>
        </w:rPr>
        <w:t xml:space="preserve">To break this deadlock, we establish </w:t>
      </w:r>
      <w:r>
        <w:rPr>
          <w:rFonts w:ascii="Times New Roman" w:hAnsi="Times New Roman"/>
          <w:b/>
          <w:bCs/>
          <w:sz w:val="21"/>
        </w:rPr>
        <w:t>“Value Chain Physics”</w:t>
      </w:r>
      <w:r>
        <w:rPr>
          <w:rFonts w:ascii="Times New Roman" w:hAnsi="Times New Roman"/>
          <w:sz w:val="21"/>
        </w:rPr>
        <w:t>—the concrete domain projection of systems science onto enterprise value networks. Grounded in first principles, we model the Non-IID physical reality to formulate a rigorous solver architecture while formally proving the mathematical necessity and sufficiency of Qian Xuesen’s OCGS principles.</w:t>
      </w:r>
    </w:p>
    <w:p w14:paraId="2DD969AD" w14:textId="77777777" w:rsidR="00DA2681" w:rsidRDefault="00000000">
      <w:pPr>
        <w:spacing w:after="80" w:line="276" w:lineRule="auto"/>
      </w:pPr>
      <w:r>
        <w:rPr>
          <w:rFonts w:ascii="Times New Roman" w:hAnsi="Times New Roman"/>
          <w:sz w:val="21"/>
        </w:rPr>
        <w:pict w14:anchorId="5D93079A">
          <v:rect id="_x0000_i1027" style="width:0;height:1.5pt" o:hralign="center" o:hrstd="t" o:hr="t"/>
        </w:pict>
      </w:r>
    </w:p>
    <w:p w14:paraId="08B7EA44" w14:textId="77777777" w:rsidR="00DA2681" w:rsidRDefault="00000000">
      <w:pPr>
        <w:pStyle w:val="2"/>
        <w:spacing w:before="240"/>
      </w:pPr>
      <w:bookmarkStart w:id="4" w:name="X5d51854ae73990e68dd5e3bdb880f5e948d8e0d"/>
      <w:bookmarkEnd w:id="3"/>
      <w:r>
        <w:rPr>
          <w:rFonts w:ascii="Times New Roman" w:hAnsi="Times New Roman"/>
          <w:b/>
          <w:color w:val="222222"/>
          <w:sz w:val="23"/>
        </w:rPr>
        <w:lastRenderedPageBreak/>
        <w:t>2. Theoretical Foundations: Value Chain Physics and Qian Xuesen’s OCGS Framework</w:t>
      </w:r>
    </w:p>
    <w:p w14:paraId="12A2F312" w14:textId="77777777" w:rsidR="00DA2681" w:rsidRDefault="00000000">
      <w:pPr>
        <w:pStyle w:val="FirstParagraph"/>
        <w:spacing w:after="80" w:line="276" w:lineRule="auto"/>
      </w:pPr>
      <w:r>
        <w:rPr>
          <w:rFonts w:ascii="Times New Roman" w:hAnsi="Times New Roman"/>
          <w:sz w:val="21"/>
        </w:rPr>
        <w:t>Our theoretical architecture rests on the synthesis of three foundational pillars:</w:t>
      </w:r>
    </w:p>
    <w:p w14:paraId="1053AE24" w14:textId="77777777" w:rsidR="00DA2681" w:rsidRDefault="00000000">
      <w:pPr>
        <w:pStyle w:val="3"/>
        <w:spacing w:before="320" w:after="120"/>
      </w:pPr>
      <w:bookmarkStart w:id="5" w:name="Xf3552ee724f97c6d65973cffd119d5baae0ddc3"/>
      <w:r>
        <w:rPr>
          <w:rFonts w:ascii="Times New Roman" w:hAnsi="Times New Roman"/>
          <w:b/>
          <w:color w:val="111111"/>
          <w:sz w:val="26"/>
        </w:rPr>
        <w:t>2.1 Qian Xuesen’s Open Complex Giant Systems (OCGS) Theory</w:t>
      </w:r>
    </w:p>
    <w:p w14:paraId="754C622F" w14:textId="77777777" w:rsidR="00DA2681" w:rsidRDefault="00000000">
      <w:pPr>
        <w:pStyle w:val="FirstParagraph"/>
        <w:spacing w:after="80" w:line="276" w:lineRule="auto"/>
      </w:pPr>
      <w:r>
        <w:rPr>
          <w:rFonts w:ascii="Times New Roman" w:hAnsi="Times New Roman"/>
          <w:sz w:val="21"/>
        </w:rPr>
        <w:t>Qian et al. (1990) defined systems characterized by vast heterogeneous components, multi-level hierarchy, non-linear long-range interactions, and continuous environmental exchange as Open Complex Giant Systems (OCGS). Qian proposed the “Hall of Workshop for Decision Support (HWDS)”, emphasizing the “Overall Design Department” and “Human-Machine Integration”.</w:t>
      </w:r>
    </w:p>
    <w:p w14:paraId="0E5F8D61" w14:textId="77777777" w:rsidR="00DA2681" w:rsidRDefault="00000000">
      <w:pPr>
        <w:pStyle w:val="a0"/>
        <w:spacing w:after="80" w:line="276" w:lineRule="auto"/>
      </w:pPr>
      <w:r>
        <w:rPr>
          <w:rFonts w:ascii="Times New Roman" w:hAnsi="Times New Roman"/>
          <w:sz w:val="21"/>
        </w:rPr>
        <w:t xml:space="preserve">However, in traditional management science and software engineering, OCGS theory remained qualitative and methodological, lacking formal mathematical derivations and closed-loop algorithmic mechanics in discrete physical domains. </w:t>
      </w:r>
      <w:r>
        <w:rPr>
          <w:rFonts w:ascii="Times New Roman" w:hAnsi="Times New Roman"/>
          <w:b/>
          <w:bCs/>
          <w:sz w:val="21"/>
        </w:rPr>
        <w:t>Value Chain Physics provides the formal mathematical projection and domain realization of OCGS theory in discrete manufacturing phase spaces.</w:t>
      </w:r>
    </w:p>
    <w:p w14:paraId="02BF6FB9" w14:textId="77777777" w:rsidR="00DA2681" w:rsidRDefault="00000000">
      <w:pPr>
        <w:pStyle w:val="3"/>
        <w:spacing w:before="320" w:after="120"/>
      </w:pPr>
      <w:bookmarkStart w:id="6" w:name="Xea3cbdf01b3322c9f27e88be7ed79eca26b5074"/>
      <w:bookmarkEnd w:id="5"/>
      <w:r>
        <w:rPr>
          <w:rFonts w:ascii="Times New Roman" w:hAnsi="Times New Roman"/>
          <w:b/>
          <w:color w:val="111111"/>
          <w:sz w:val="26"/>
        </w:rPr>
        <w:t>2.2 Isomorphism with Cao’s Non-IID Learning Theory</w:t>
      </w:r>
    </w:p>
    <w:p w14:paraId="052DC981" w14:textId="77777777" w:rsidR="00DA2681" w:rsidRDefault="00000000">
      <w:pPr>
        <w:pStyle w:val="FirstParagraph"/>
        <w:spacing w:after="80" w:line="276" w:lineRule="auto"/>
      </w:pPr>
      <w:r>
        <w:rPr>
          <w:rFonts w:ascii="Times New Roman" w:hAnsi="Times New Roman"/>
          <w:sz w:val="21"/>
        </w:rPr>
        <w:t xml:space="preserve">Professor Longbing Cao (2014, 2022) formally established Non-IID Learning theory, demonstrating that real-world systems universally exhibit intra-entity coupling, inter-entity coupling, and spatio-temporal heterogeneities. Cao proved a fundamental theorem: </w:t>
      </w:r>
      <w:r>
        <w:rPr>
          <w:rFonts w:ascii="Times New Roman" w:hAnsi="Times New Roman"/>
          <w:b/>
          <w:bCs/>
          <w:sz w:val="21"/>
        </w:rPr>
        <w:t>“If a system is intrinsically Non-IID, modeling and solving it under IID assumptions yields mathematically biased and invalid results.”</w:t>
      </w:r>
    </w:p>
    <w:p w14:paraId="4897FD4E" w14:textId="77777777" w:rsidR="00DA2681" w:rsidRDefault="00000000">
      <w:pPr>
        <w:pStyle w:val="a0"/>
        <w:spacing w:after="80" w:line="276" w:lineRule="auto"/>
      </w:pPr>
      <w:r>
        <w:rPr>
          <w:rFonts w:ascii="Times New Roman" w:hAnsi="Times New Roman"/>
          <w:sz w:val="21"/>
        </w:rPr>
        <w:t xml:space="preserve">According to Holographic Anti-Entropy theory (Meng, 2026), Value Chain Physics exhibits a fourfold topological isomorphism with Cao’s Non-IID theory: 1. </w:t>
      </w:r>
      <w:r>
        <w:rPr>
          <w:rFonts w:ascii="Times New Roman" w:hAnsi="Times New Roman"/>
          <w:b/>
          <w:bCs/>
          <w:sz w:val="21"/>
        </w:rPr>
        <w:t>Diagnostic Isomorphism</w:t>
      </w:r>
      <w:r>
        <w:rPr>
          <w:rFonts w:ascii="Times New Roman" w:hAnsi="Times New Roman"/>
          <w:sz w:val="21"/>
        </w:rPr>
        <w:t xml:space="preserve">: Non-IID strong coupling </w:t>
      </w:r>
      <m:oMath>
        <m:r>
          <m:rPr>
            <m:sty m:val="p"/>
          </m:rPr>
          <w:rPr>
            <w:rFonts w:ascii="Cambria Math" w:hAnsi="Cambria Math"/>
          </w:rPr>
          <m:t>⇔</m:t>
        </m:r>
      </m:oMath>
      <w:r>
        <w:rPr>
          <w:rFonts w:ascii="Times New Roman" w:hAnsi="Times New Roman"/>
          <w:sz w:val="21"/>
        </w:rPr>
        <w:t xml:space="preserve"> Non-orthogonal topological interference driving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sz w:val="21"/>
        </w:rPr>
        <w:t xml:space="preserve"> factorial complexity; 2. </w:t>
      </w:r>
      <w:r>
        <w:rPr>
          <w:rFonts w:ascii="Times New Roman" w:hAnsi="Times New Roman"/>
          <w:b/>
          <w:bCs/>
          <w:sz w:val="21"/>
        </w:rPr>
        <w:t>Solver Isomorphism</w:t>
      </w:r>
      <w:r>
        <w:rPr>
          <w:rFonts w:ascii="Times New Roman" w:hAnsi="Times New Roman"/>
          <w:sz w:val="21"/>
        </w:rPr>
        <w:t xml:space="preserve">: High-dimensional coupling feature extraction </w:t>
      </w:r>
      <m:oMath>
        <m:r>
          <m:rPr>
            <m:sty m:val="p"/>
          </m:rPr>
          <w:rPr>
            <w:rFonts w:ascii="Cambria Math" w:hAnsi="Cambria Math"/>
          </w:rPr>
          <m:t>⇔</m:t>
        </m:r>
      </m:oMath>
      <w:r>
        <w:rPr>
          <w:rFonts w:ascii="Times New Roman" w:hAnsi="Times New Roman"/>
          <w:sz w:val="21"/>
        </w:rPr>
        <w:t xml:space="preserve"> Prior Partitioning Operator </w:t>
      </w:r>
      <m:oMath>
        <m:r>
          <m:rPr>
            <m:sty m:val="b"/>
          </m:rPr>
          <w:rPr>
            <w:rFonts w:ascii="Cambria Math" w:hAnsi="Cambria Math"/>
          </w:rPr>
          <m:t>Π</m:t>
        </m:r>
      </m:oMath>
      <w:r>
        <w:rPr>
          <w:rFonts w:ascii="Times New Roman" w:hAnsi="Times New Roman"/>
          <w:sz w:val="21"/>
        </w:rPr>
        <w:t xml:space="preserve"> and Rigid Manifold Operator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rPr>
          <w:rFonts w:ascii="Times New Roman" w:hAnsi="Times New Roman"/>
          <w:sz w:val="21"/>
        </w:rPr>
        <w:t xml:space="preserve"> enabling algebraic pruning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Times New Roman" w:hAnsi="Times New Roman"/>
          <w:sz w:val="21"/>
        </w:rPr>
        <w:t xml:space="preserve">); 3. </w:t>
      </w:r>
      <w:r>
        <w:rPr>
          <w:rFonts w:ascii="Times New Roman" w:hAnsi="Times New Roman"/>
          <w:b/>
          <w:bCs/>
          <w:sz w:val="21"/>
        </w:rPr>
        <w:t>Safety Isomorphism</w:t>
      </w:r>
      <w:r>
        <w:rPr>
          <w:rFonts w:ascii="Times New Roman" w:hAnsi="Times New Roman"/>
          <w:sz w:val="21"/>
        </w:rPr>
        <w:t xml:space="preserve">: Adversarial perturbations &amp; model drift </w:t>
      </w:r>
      <m:oMath>
        <m:r>
          <m:rPr>
            <m:sty m:val="p"/>
          </m:rPr>
          <w:rPr>
            <w:rFonts w:ascii="Cambria Math" w:hAnsi="Cambria Math"/>
          </w:rPr>
          <m:t>⇔</m:t>
        </m:r>
      </m:oMath>
      <w:r>
        <w:rPr>
          <w:rFonts w:ascii="Times New Roman" w:hAnsi="Times New Roman"/>
          <w:sz w:val="21"/>
        </w:rPr>
        <w:t xml:space="preserve"> Compact Support Projection Operator </w:t>
      </w:r>
      <m:oMath>
        <m:sSub>
          <m:sSubPr>
            <m:ctrlPr>
              <w:rPr>
                <w:rFonts w:ascii="Cambria Math" w:hAnsi="Cambria Math"/>
              </w:rPr>
            </m:ctrlPr>
          </m:sSubPr>
          <m:e>
            <m:r>
              <m:rPr>
                <m:sty m:val="bi"/>
              </m:rPr>
              <w:rPr>
                <w:rFonts w:ascii="Cambria Math" w:hAnsi="Cambria Math"/>
              </w:rPr>
              <m:t>E</m:t>
            </m:r>
          </m:e>
          <m:sub>
            <m:r>
              <m:rPr>
                <m:sty m:val="p"/>
              </m:rPr>
              <w:rPr>
                <w:rFonts w:ascii="Cambria Math" w:hAnsi="Cambria Math"/>
              </w:rPr>
              <m:t>supp</m:t>
            </m:r>
          </m:sub>
        </m:sSub>
      </m:oMath>
      <w:r>
        <w:rPr>
          <w:rFonts w:ascii="Times New Roman" w:hAnsi="Times New Roman"/>
          <w:sz w:val="21"/>
        </w:rPr>
        <w:t xml:space="preserve"> truncating heavy-tailed residuals; 4. </w:t>
      </w:r>
      <w:r>
        <w:rPr>
          <w:rFonts w:ascii="Times New Roman" w:hAnsi="Times New Roman"/>
          <w:b/>
          <w:bCs/>
          <w:sz w:val="21"/>
        </w:rPr>
        <w:t>Closed-Loop Isomorphism</w:t>
      </w:r>
      <w:r>
        <w:rPr>
          <w:rFonts w:ascii="Times New Roman" w:hAnsi="Times New Roman"/>
          <w:sz w:val="21"/>
        </w:rPr>
        <w:t xml:space="preserve">: Human-in-the-loop decision support </w:t>
      </w:r>
      <m:oMath>
        <m:r>
          <m:rPr>
            <m:sty m:val="p"/>
          </m:rPr>
          <w:rPr>
            <w:rFonts w:ascii="Cambria Math" w:hAnsi="Cambria Math"/>
          </w:rPr>
          <m:t>⇔</m:t>
        </m:r>
      </m:oMath>
      <w:r>
        <w:rPr>
          <w:rFonts w:ascii="Times New Roman" w:hAnsi="Times New Roman"/>
          <w:sz w:val="21"/>
        </w:rPr>
        <w:t xml:space="preserve"> Automated decision write-back and human-out-of-the-loop self-healing.</w:t>
      </w:r>
    </w:p>
    <w:p w14:paraId="09DD86F3" w14:textId="77777777" w:rsidR="00DA2681" w:rsidRDefault="00000000">
      <w:pPr>
        <w:pStyle w:val="3"/>
        <w:spacing w:before="320" w:after="120"/>
      </w:pPr>
      <w:bookmarkStart w:id="7" w:name="Xbd05914e060340f7bebd0723ef9008ce0a7ea01"/>
      <w:bookmarkEnd w:id="6"/>
      <w:r>
        <w:rPr>
          <w:rFonts w:ascii="Times New Roman" w:hAnsi="Times New Roman"/>
          <w:b/>
          <w:color w:val="111111"/>
          <w:sz w:val="26"/>
        </w:rPr>
        <w:t>2.3 Cybernetic and Information-Theoretic Boundaries</w:t>
      </w:r>
    </w:p>
    <w:p w14:paraId="128ED8DE" w14:textId="77777777" w:rsidR="00DA2681" w:rsidRDefault="00000000">
      <w:pPr>
        <w:pStyle w:val="FirstParagraph"/>
        <w:spacing w:after="80" w:line="276" w:lineRule="auto"/>
      </w:pPr>
      <w:r>
        <w:rPr>
          <w:rFonts w:ascii="Times New Roman" w:hAnsi="Times New Roman"/>
          <w:sz w:val="21"/>
        </w:rPr>
        <w:t xml:space="preserve">Ashby’s (1956) Law of Requisite Variety requires that controller variety </w:t>
      </w:r>
      <m:oMath>
        <m:sSub>
          <m:sSubPr>
            <m:ctrlPr>
              <w:rPr>
                <w:rFonts w:ascii="Cambria Math" w:hAnsi="Cambria Math"/>
              </w:rPr>
            </m:ctrlPr>
          </m:sSubPr>
          <m:e>
            <m:r>
              <w:rPr>
                <w:rFonts w:ascii="Cambria Math" w:hAnsi="Cambria Math"/>
              </w:rPr>
              <m:t>V</m:t>
            </m:r>
          </m:e>
          <m:sub>
            <m:r>
              <w:rPr>
                <w:rFonts w:ascii="Cambria Math" w:hAnsi="Cambria Math"/>
              </w:rPr>
              <m:t>c</m:t>
            </m:r>
          </m:sub>
        </m:sSub>
      </m:oMath>
      <w:r>
        <w:rPr>
          <w:rFonts w:ascii="Times New Roman" w:hAnsi="Times New Roman"/>
          <w:sz w:val="21"/>
        </w:rPr>
        <w:t xml:space="preserve"> must not be less than system variety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1"/>
        </w:rPr>
        <w:t>. Miller’s (1956) law establishes human working memory capacity limits (</w:t>
      </w:r>
      <m:oMath>
        <m:r>
          <w:rPr>
            <w:rFonts w:ascii="Cambria Math" w:hAnsi="Cambria Math"/>
          </w:rPr>
          <m:t>7</m:t>
        </m:r>
        <m:r>
          <m:rPr>
            <m:sty m:val="p"/>
          </m:rPr>
          <w:rPr>
            <w:rFonts w:ascii="Cambria Math" w:hAnsi="Cambria Math"/>
          </w:rPr>
          <m:t>±</m:t>
        </m:r>
        <m:r>
          <w:rPr>
            <w:rFonts w:ascii="Cambria Math" w:hAnsi="Cambria Math"/>
          </w:rPr>
          <m:t>2</m:t>
        </m:r>
      </m:oMath>
      <w:r>
        <w:rPr>
          <w:rFonts w:ascii="Times New Roman" w:hAnsi="Times New Roman"/>
          <w:sz w:val="21"/>
        </w:rPr>
        <w:t xml:space="preserve">). When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oMath>
      <w:r>
        <w:rPr>
          <w:rFonts w:ascii="Times New Roman" w:hAnsi="Times New Roman"/>
          <w:sz w:val="21"/>
        </w:rPr>
        <w:t>, manual open-loop coordination inevitably collapses. Kalman’s (1960) controllability-observability duality theorem dictates that unobservable physical states cannot be controlled.</w:t>
      </w:r>
    </w:p>
    <w:p w14:paraId="0D228628" w14:textId="77777777" w:rsidR="00DA2681" w:rsidRDefault="00000000">
      <w:pPr>
        <w:spacing w:after="80" w:line="276" w:lineRule="auto"/>
      </w:pPr>
      <w:r>
        <w:rPr>
          <w:rFonts w:ascii="Times New Roman" w:hAnsi="Times New Roman"/>
          <w:sz w:val="21"/>
        </w:rPr>
        <w:pict w14:anchorId="6C978B5D">
          <v:rect id="_x0000_i1028" style="width:0;height:1.5pt" o:hralign="center" o:hrstd="t" o:hr="t"/>
        </w:pict>
      </w:r>
    </w:p>
    <w:p w14:paraId="00816747" w14:textId="77777777" w:rsidR="00DA2681" w:rsidRDefault="00000000">
      <w:pPr>
        <w:pStyle w:val="2"/>
        <w:spacing w:before="320" w:after="120"/>
      </w:pPr>
      <w:bookmarkStart w:id="8" w:name="X65c659d2b115351e9473c79ef09f3ca0348d879"/>
      <w:bookmarkEnd w:id="4"/>
      <w:bookmarkEnd w:id="7"/>
      <w:r>
        <w:rPr>
          <w:rFonts w:ascii="Times New Roman" w:hAnsi="Times New Roman"/>
          <w:b/>
          <w:color w:val="111111"/>
          <w:sz w:val="26"/>
        </w:rPr>
        <w:t>3. Value Chain Physics: 5D Topological Manifold and 8 Architecture Principles</w:t>
      </w:r>
    </w:p>
    <w:p w14:paraId="7F63D1DA" w14:textId="77777777" w:rsidR="00DA2681" w:rsidRDefault="00000000">
      <w:pPr>
        <w:pStyle w:val="3"/>
        <w:spacing w:before="320" w:after="120"/>
      </w:pPr>
      <w:bookmarkStart w:id="9" w:name="Xea80252636846f8599d095f7566f8e1ddea36ee"/>
      <w:r>
        <w:rPr>
          <w:rFonts w:ascii="Times New Roman" w:hAnsi="Times New Roman"/>
          <w:b/>
          <w:color w:val="111111"/>
          <w:sz w:val="26"/>
        </w:rPr>
        <w:t>3.1 5D Physical Complete State Manifold (SCI Topological Invariant)</w:t>
      </w:r>
    </w:p>
    <w:p w14:paraId="337687D7" w14:textId="77777777" w:rsidR="00DA2681" w:rsidRDefault="00000000">
      <w:pPr>
        <w:pStyle w:val="FirstParagraph"/>
        <w:spacing w:after="80" w:line="276" w:lineRule="auto"/>
      </w:pPr>
      <w:r>
        <w:rPr>
          <w:rFonts w:ascii="Times New Roman" w:hAnsi="Times New Roman"/>
          <w:sz w:val="21"/>
        </w:rPr>
        <w:t xml:space="preserve">In Value Chain Physics, the physical reality of a value network at time </w:t>
      </w:r>
      <m:oMath>
        <m:r>
          <w:rPr>
            <w:rFonts w:ascii="Cambria Math" w:hAnsi="Cambria Math"/>
          </w:rPr>
          <m:t>t</m:t>
        </m:r>
      </m:oMath>
      <w:r>
        <w:rPr>
          <w:rFonts w:ascii="Times New Roman" w:hAnsi="Times New Roman"/>
          <w:sz w:val="21"/>
        </w:rPr>
        <w:t xml:space="preserve"> is formalized as a </w:t>
      </w:r>
      <w:r>
        <w:rPr>
          <w:rFonts w:ascii="Times New Roman" w:hAnsi="Times New Roman"/>
          <w:b/>
          <w:bCs/>
          <w:sz w:val="21"/>
        </w:rPr>
        <w:t>Systemically Complete and Irreducible (SCI) 5D Topological Manifold</w:t>
      </w:r>
      <w:r>
        <w:rPr>
          <w:rFonts w:ascii="Times New Roman" w:hAnsi="Times New Roman"/>
          <w:sz w:val="21"/>
        </w:rPr>
        <w:t>:</w:t>
      </w:r>
    </w:p>
    <w:p w14:paraId="65461AD8" w14:textId="77777777" w:rsidR="00DA2681" w:rsidRDefault="00000000">
      <w:pPr>
        <w:pStyle w:val="a0"/>
        <w:spacing w:after="80" w:line="276" w:lineRule="auto"/>
      </w:pPr>
      <m:oMathPara>
        <m:oMathParaPr>
          <m:jc m:val="center"/>
        </m:oMathParaPr>
        <m:oMath>
          <m:r>
            <m:rPr>
              <m:scr m:val="script"/>
              <m:sty m:val="p"/>
            </m:rPr>
            <w:rPr>
              <w:rFonts w:ascii="Cambria Math" w:hAnsi="Cambria Math"/>
            </w:rPr>
            <w:lastRenderedPageBreak/>
            <m:t>M(</m:t>
          </m:r>
          <m:r>
            <w:rPr>
              <w:rFonts w:ascii="Cambria Math" w:hAnsi="Cambria Math"/>
            </w:rPr>
            <m:t>t</m:t>
          </m:r>
          <m:r>
            <m:rPr>
              <m:scr m:val="script"/>
              <m:sty m:val="p"/>
            </m:rPr>
            <w:rPr>
              <w:rFonts w:ascii="Cambria Math" w:hAnsi="Cambria Math"/>
            </w:rPr>
            <m:t>)=⟨N,T,C,</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),Δ</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D80C535" w14:textId="77777777" w:rsidR="00DA2681" w:rsidRDefault="00000000">
      <w:pPr>
        <w:pStyle w:val="Compact"/>
        <w:numPr>
          <w:ilvl w:val="0"/>
          <w:numId w:val="3"/>
        </w:numPr>
        <w:spacing w:after="80" w:line="276" w:lineRule="auto"/>
      </w:pPr>
      <m:oMath>
        <m:r>
          <m:rPr>
            <m:scr m:val="script"/>
            <m:sty m:val="p"/>
          </m:rPr>
          <w:rPr>
            <w:rFonts w:ascii="Cambria Math" w:hAnsi="Cambria Math"/>
          </w:rPr>
          <m:t>N</m:t>
        </m:r>
      </m:oMath>
      <w:r>
        <w:rPr>
          <w:rFonts w:ascii="Times New Roman" w:hAnsi="Times New Roman"/>
          <w:sz w:val="21"/>
        </w:rPr>
        <w:t xml:space="preserve"> (Nodes): Microscopic physical entities (machines, materials, control units, accounts);</w:t>
      </w:r>
    </w:p>
    <w:p w14:paraId="601A5BF1" w14:textId="77777777" w:rsidR="00DA2681" w:rsidRDefault="00000000">
      <w:pPr>
        <w:pStyle w:val="Compact"/>
        <w:numPr>
          <w:ilvl w:val="0"/>
          <w:numId w:val="3"/>
        </w:numPr>
        <w:spacing w:after="80" w:line="276" w:lineRule="auto"/>
      </w:pPr>
      <m:oMath>
        <m:r>
          <m:rPr>
            <m:scr m:val="script"/>
            <m:sty m:val="p"/>
          </m:rPr>
          <w:rPr>
            <w:rFonts w:ascii="Cambria Math" w:hAnsi="Cambria Math"/>
          </w:rPr>
          <m:t>T</m:t>
        </m:r>
      </m:oMath>
      <w:r>
        <w:rPr>
          <w:rFonts w:ascii="Times New Roman" w:hAnsi="Times New Roman"/>
          <w:sz w:val="21"/>
        </w:rPr>
        <w:t xml:space="preserve"> (Topology): Non-linear connection matrix </w:t>
      </w:r>
      <m:oMath>
        <m:r>
          <m:rPr>
            <m:sty m:val="bi"/>
          </m:rPr>
          <w:rPr>
            <w:rFonts w:ascii="Cambria Math" w:hAnsi="Cambria Math"/>
          </w:rPr>
          <m:t>A</m:t>
        </m:r>
      </m:oMath>
      <w:r>
        <w:rPr>
          <w:rFonts w:ascii="Times New Roman" w:hAnsi="Times New Roman"/>
          <w:sz w:val="21"/>
        </w:rPr>
        <w:t xml:space="preserve"> and Directed Acyclic Graph (DAG) representing causal dependencies;</w:t>
      </w:r>
    </w:p>
    <w:p w14:paraId="6E4616A6" w14:textId="77777777" w:rsidR="00DA2681" w:rsidRDefault="00000000">
      <w:pPr>
        <w:pStyle w:val="Compact"/>
        <w:numPr>
          <w:ilvl w:val="0"/>
          <w:numId w:val="3"/>
        </w:numPr>
        <w:spacing w:after="80" w:line="276" w:lineRule="auto"/>
      </w:pPr>
      <m:oMath>
        <m:r>
          <m:rPr>
            <m:scr m:val="script"/>
            <m:sty m:val="p"/>
          </m:rPr>
          <w:rPr>
            <w:rFonts w:ascii="Cambria Math" w:hAnsi="Cambria Math"/>
          </w:rPr>
          <m:t>C</m:t>
        </m:r>
      </m:oMath>
      <w:r>
        <w:rPr>
          <w:rFonts w:ascii="Times New Roman" w:hAnsi="Times New Roman"/>
          <w:sz w:val="21"/>
        </w:rPr>
        <w:t xml:space="preserve"> (Constraint Cluster): Degree-of-freedom boundary conditions imposed by rigid manifold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rPr>
          <w:rFonts w:ascii="Times New Roman" w:hAnsi="Times New Roman"/>
          <w:sz w:val="21"/>
        </w:rPr>
        <w:t xml:space="preserve"> (capacity, material kitting, hard lead times);</w:t>
      </w:r>
    </w:p>
    <w:p w14:paraId="11DFBFF0" w14:textId="77777777" w:rsidR="00DA2681" w:rsidRDefault="00000000">
      <w:pPr>
        <w:pStyle w:val="Compact"/>
        <w:numPr>
          <w:ilvl w:val="0"/>
          <w:numId w:val="3"/>
        </w:numPr>
        <w:spacing w:after="80" w:line="276" w:lineRule="auto"/>
      </w:pPr>
      <m:oMath>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ascii="Times New Roman" w:hAnsi="Times New Roman"/>
          <w:sz w:val="21"/>
        </w:rPr>
        <w:t xml:space="preserve"> (State Vectors): Instantaneous state coordinates within state space </w:t>
      </w:r>
      <m:oMath>
        <m:r>
          <m:rPr>
            <m:sty m:val="p"/>
          </m:rPr>
          <w:rPr>
            <w:rFonts w:ascii="Cambria Math" w:hAnsi="Cambria Math"/>
          </w:rPr>
          <m:t>Ω</m:t>
        </m:r>
      </m:oMath>
      <w:r>
        <w:rPr>
          <w:rFonts w:ascii="Times New Roman" w:hAnsi="Times New Roman"/>
          <w:sz w:val="21"/>
        </w:rPr>
        <w:t>;</w:t>
      </w:r>
    </w:p>
    <w:p w14:paraId="4FD327BD" w14:textId="77777777" w:rsidR="00DA2681" w:rsidRDefault="00000000">
      <w:pPr>
        <w:pStyle w:val="Compact"/>
        <w:numPr>
          <w:ilvl w:val="0"/>
          <w:numId w:val="3"/>
        </w:numPr>
        <w:spacing w:after="80" w:line="276" w:lineRule="auto"/>
      </w:pPr>
      <m:oMath>
        <m:r>
          <m:rPr>
            <m:sty m:val="p"/>
          </m:rPr>
          <w:rPr>
            <w:rFonts w:ascii="Cambria Math" w:hAnsi="Cambria Math"/>
          </w:rPr>
          <m:t>Δ</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ascii="Times New Roman" w:hAnsi="Times New Roman"/>
          <w:sz w:val="21"/>
        </w:rPr>
        <w:t xml:space="preserve"> (State Transitions): Discrete event-driven phase transitions and state transition paths triggered by residual </w:t>
      </w:r>
      <m:oMath>
        <m:r>
          <m:rPr>
            <m:sty m:val="b"/>
          </m:rPr>
          <w:rPr>
            <w:rFonts w:ascii="Cambria Math" w:hAnsi="Cambria Math"/>
          </w:rPr>
          <m:t>Δ</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p"/>
              </m:rPr>
              <w:rPr>
                <w:rFonts w:ascii="Cambria Math" w:hAnsi="Cambria Math"/>
              </w: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p"/>
              </m:rPr>
              <w:rPr>
                <w:rFonts w:ascii="Cambria Math" w:hAnsi="Cambria Math"/>
              </w:rPr>
              <m:t>target</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ascii="Times New Roman" w:hAnsi="Times New Roman"/>
          <w:sz w:val="21"/>
        </w:rPr>
        <w:t>.</w:t>
      </w:r>
    </w:p>
    <w:p w14:paraId="72A8576C" w14:textId="77777777" w:rsidR="00DA2681" w:rsidRDefault="00000000">
      <w:pPr>
        <w:pStyle w:val="FirstParagraph"/>
        <w:spacing w:after="80" w:line="276" w:lineRule="auto"/>
      </w:pPr>
      <w:r>
        <w:rPr>
          <w:rFonts w:ascii="Times New Roman" w:hAnsi="Times New Roman"/>
          <w:sz w:val="21"/>
        </w:rPr>
        <w:t xml:space="preserve">Omitting any of these five dimensions causes manifold degeneration, destroying the system’s anti-entropy capability. In the unconstrained phase space, non-orthogonal interference across dimensions generates vector cancellation. Through Prior Partition Operator </w:t>
      </w:r>
      <m:oMath>
        <m:r>
          <m:rPr>
            <m:sty m:val="b"/>
          </m:rPr>
          <w:rPr>
            <w:rFonts w:ascii="Cambria Math" w:hAnsi="Cambria Math"/>
          </w:rPr>
          <m:t>Π</m:t>
        </m:r>
      </m:oMath>
      <w:r>
        <w:rPr>
          <w:rFonts w:ascii="Times New Roman" w:hAnsi="Times New Roman"/>
          <w:sz w:val="21"/>
        </w:rPr>
        <w:t xml:space="preserve"> and Rigid Manifold Operator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rPr>
          <w:rFonts w:ascii="Times New Roman" w:hAnsi="Times New Roman"/>
          <w:sz w:val="21"/>
        </w:rPr>
        <w:t xml:space="preserve">, controllable degrees of freedom are orthogonally projected within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feasible</m:t>
            </m:r>
          </m:sub>
        </m:sSub>
      </m:oMath>
      <w:r>
        <w:rPr>
          <w:rFonts w:ascii="Times New Roman" w:hAnsi="Times New Roman"/>
          <w:sz w:val="21"/>
        </w:rPr>
        <w:t>.</w:t>
      </w:r>
    </w:p>
    <w:p w14:paraId="3F2EBB4D" w14:textId="77777777" w:rsidR="00DA2681" w:rsidRDefault="00000000">
      <w:pPr>
        <w:pStyle w:val="3"/>
        <w:spacing w:before="320" w:after="120"/>
      </w:pPr>
      <w:bookmarkStart w:id="10" w:name="eight-architecture-design-principles"/>
      <w:bookmarkEnd w:id="9"/>
      <w:r>
        <w:rPr>
          <w:rFonts w:ascii="Times New Roman" w:hAnsi="Times New Roman"/>
          <w:b/>
          <w:color w:val="111111"/>
          <w:sz w:val="26"/>
        </w:rPr>
        <w:t>3.2 Eight Architecture Design Principles</w:t>
      </w:r>
    </w:p>
    <w:p w14:paraId="7ED4568E" w14:textId="77777777" w:rsidR="00DA2681" w:rsidRDefault="00000000">
      <w:pPr>
        <w:pStyle w:val="FirstParagraph"/>
        <w:spacing w:after="80" w:line="276" w:lineRule="auto"/>
      </w:pPr>
      <w:r>
        <w:rPr>
          <w:rFonts w:ascii="Times New Roman" w:hAnsi="Times New Roman"/>
          <w:sz w:val="21"/>
        </w:rPr>
        <w:t>Grounded in Non-IID physical reality, Value Chain Physics formulates eight governing architecture principles:</w:t>
      </w:r>
    </w:p>
    <w:p w14:paraId="330980C5" w14:textId="77777777" w:rsidR="00DA2681" w:rsidRDefault="00000000">
      <w:pPr>
        <w:pStyle w:val="Compact"/>
        <w:numPr>
          <w:ilvl w:val="0"/>
          <w:numId w:val="4"/>
        </w:numPr>
        <w:spacing w:after="80" w:line="276" w:lineRule="auto"/>
      </w:pPr>
      <w:r>
        <w:rPr>
          <w:rFonts w:ascii="Times New Roman" w:hAnsi="Times New Roman"/>
          <w:b/>
          <w:bCs/>
          <w:sz w:val="21"/>
        </w:rPr>
        <w:t>Principle 1: Teleology (Unification)</w:t>
      </w:r>
      <w:r>
        <w:rPr>
          <w:rFonts w:ascii="Times New Roman" w:hAnsi="Times New Roman"/>
          <w:sz w:val="21"/>
        </w:rPr>
        <w:t xml:space="preserve">: The world is non-IID. Without unified global orchestration, local departmental optimization causes Vector Cancellation, generating dissipative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oMath>
      <w:r>
        <w:rPr>
          <w:rFonts w:ascii="Times New Roman" w:hAnsi="Times New Roman"/>
          <w:sz w:val="21"/>
        </w:rPr>
        <w:t xml:space="preserve"> and locking the firm in low-efficiency Nash equilibria.</w:t>
      </w:r>
    </w:p>
    <w:p w14:paraId="0E9DD0B9" w14:textId="77777777" w:rsidR="00DA2681" w:rsidRDefault="00000000">
      <w:pPr>
        <w:pStyle w:val="Compact"/>
        <w:numPr>
          <w:ilvl w:val="0"/>
          <w:numId w:val="4"/>
        </w:numPr>
        <w:spacing w:after="80" w:line="276" w:lineRule="auto"/>
      </w:pPr>
      <w:r>
        <w:rPr>
          <w:rFonts w:ascii="Times New Roman" w:hAnsi="Times New Roman"/>
          <w:b/>
          <w:bCs/>
          <w:sz w:val="21"/>
        </w:rPr>
        <w:t>Principle 2: Ontology (Complexity Boundary)</w:t>
      </w:r>
      <w:r>
        <w:rPr>
          <w:rFonts w:ascii="Times New Roman" w:hAnsi="Times New Roman"/>
          <w:sz w:val="21"/>
        </w:rPr>
        <w:t xml:space="preserve">: Under Non-IID coupling, unconstrained solution spaces explode factorially to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sz w:val="21"/>
        </w:rPr>
        <w:t>, exceeding human cognitive bandwidth. High-frequency micro-level scheduling must be transferred to silicon engines.</w:t>
      </w:r>
    </w:p>
    <w:p w14:paraId="575D03CD" w14:textId="77777777" w:rsidR="00DA2681" w:rsidRDefault="00000000">
      <w:pPr>
        <w:pStyle w:val="Compact"/>
        <w:numPr>
          <w:ilvl w:val="0"/>
          <w:numId w:val="4"/>
        </w:numPr>
        <w:spacing w:after="80" w:line="276" w:lineRule="auto"/>
      </w:pPr>
      <w:r>
        <w:rPr>
          <w:rFonts w:ascii="Times New Roman" w:hAnsi="Times New Roman"/>
          <w:b/>
          <w:bCs/>
          <w:sz w:val="21"/>
        </w:rPr>
        <w:t>Principle 3: Scheme Theory (5D Double-Helix)</w:t>
      </w:r>
      <w:r>
        <w:rPr>
          <w:rFonts w:ascii="Times New Roman" w:hAnsi="Times New Roman"/>
          <w:sz w:val="21"/>
        </w:rPr>
        <w:t>: Dimensionality reduction governance requires a 5D Double-Helix intertwining a Holographic Data Model (Left Helix) and a Dynamic Evolution Algorithm (Right Helix) for algebraic pruning.</w:t>
      </w:r>
    </w:p>
    <w:p w14:paraId="2667AAF6" w14:textId="77777777" w:rsidR="00DA2681" w:rsidRDefault="00000000">
      <w:pPr>
        <w:pStyle w:val="Compact"/>
        <w:numPr>
          <w:ilvl w:val="0"/>
          <w:numId w:val="4"/>
        </w:numPr>
        <w:spacing w:after="80" w:line="276" w:lineRule="auto"/>
      </w:pPr>
      <w:r>
        <w:rPr>
          <w:rFonts w:ascii="Times New Roman" w:hAnsi="Times New Roman"/>
          <w:b/>
          <w:bCs/>
          <w:sz w:val="21"/>
        </w:rPr>
        <w:t>Principle 4: Capability Theory (Tripartite Integration)</w:t>
      </w:r>
      <w:r>
        <w:rPr>
          <w:rFonts w:ascii="Times New Roman" w:hAnsi="Times New Roman"/>
          <w:sz w:val="21"/>
        </w:rPr>
        <w:t>: Business reality is indivisible. Enterprise capability must integrate Business Decoding (parsing coupling), System Modeling (formalizing coupling), and Closed-Loop Orchestration (governing coupling).</w:t>
      </w:r>
    </w:p>
    <w:p w14:paraId="721670E3" w14:textId="77777777" w:rsidR="00DA2681" w:rsidRDefault="00000000">
      <w:pPr>
        <w:pStyle w:val="Compact"/>
        <w:numPr>
          <w:ilvl w:val="0"/>
          <w:numId w:val="4"/>
        </w:numPr>
        <w:spacing w:after="80" w:line="276" w:lineRule="auto"/>
      </w:pPr>
      <w:r>
        <w:rPr>
          <w:rFonts w:ascii="Times New Roman" w:hAnsi="Times New Roman"/>
          <w:b/>
          <w:bCs/>
          <w:sz w:val="21"/>
        </w:rPr>
        <w:t>Principle 5: Mechanism Theory (Quota Autonomy &amp; Central Coordination)</w:t>
      </w:r>
      <w:r>
        <w:rPr>
          <w:rFonts w:ascii="Times New Roman" w:hAnsi="Times New Roman"/>
          <w:sz w:val="21"/>
        </w:rPr>
        <w:t xml:space="preserve">: Centralized prior partitioning and rigid manifolds outperform pure decentralized negotiation. Autonomy is guided by adjusting global quota vectors </w:t>
      </w:r>
      <m:oMath>
        <m:r>
          <m:rPr>
            <m:sty m:val="bi"/>
          </m:rPr>
          <w:rPr>
            <w:rFonts w:ascii="Cambria Math" w:hAnsi="Cambria Math"/>
          </w:rPr>
          <m:t>r</m:t>
        </m:r>
        <m:r>
          <m:rPr>
            <m:scr m:val="script"/>
            <m:sty m:val="p"/>
          </m:rPr>
          <w:rPr>
            <w:rFonts w:ascii="Cambria Math" w:hAnsi="Cambria Math"/>
          </w:rPr>
          <m:t>∈C</m:t>
        </m:r>
      </m:oMath>
      <w:r>
        <w:rPr>
          <w:rFonts w:ascii="Times New Roman" w:hAnsi="Times New Roman"/>
          <w:sz w:val="21"/>
        </w:rPr>
        <w:t>.</w:t>
      </w:r>
    </w:p>
    <w:p w14:paraId="61F5A647" w14:textId="77777777" w:rsidR="00DA2681" w:rsidRDefault="00000000">
      <w:pPr>
        <w:pStyle w:val="Compact"/>
        <w:numPr>
          <w:ilvl w:val="0"/>
          <w:numId w:val="4"/>
        </w:numPr>
        <w:spacing w:after="80" w:line="276" w:lineRule="auto"/>
      </w:pPr>
      <w:r>
        <w:rPr>
          <w:rFonts w:ascii="Times New Roman" w:hAnsi="Times New Roman"/>
          <w:b/>
          <w:bCs/>
          <w:sz w:val="21"/>
        </w:rPr>
        <w:t>Principle 6: Path Theory (Observability &amp; Decision Write-Back)</w:t>
      </w:r>
      <w:r>
        <w:rPr>
          <w:rFonts w:ascii="Times New Roman" w:hAnsi="Times New Roman"/>
          <w:sz w:val="21"/>
        </w:rPr>
        <w:t>: Control domain dimension is bounded by observation domain dimension (</w:t>
      </w:r>
      <m:oMath>
        <m:r>
          <m:rPr>
            <m:sty m:val="p"/>
          </m:rPr>
          <w:rPr>
            <w:rFonts w:ascii="Cambria Math" w:hAnsi="Cambria Math"/>
          </w:rPr>
          <m:t>dim</m:t>
        </m:r>
        <m:r>
          <m:rPr>
            <m:scr m:val="script"/>
            <m:sty m:val="p"/>
          </m:rPr>
          <w:rPr>
            <w:rFonts w:ascii="Cambria Math" w:hAnsi="Cambria Math"/>
          </w:rPr>
          <m:t>C</m:t>
        </m:r>
        <m:r>
          <m:rPr>
            <m:sty m:val="p"/>
          </m:rPr>
          <w:rPr>
            <w:rFonts w:ascii="Cambria Math" w:hAnsi="Cambria Math"/>
          </w:rPr>
          <m:t>≤dim</m:t>
        </m:r>
        <m:r>
          <m:rPr>
            <m:scr m:val="script"/>
            <m:sty m:val="p"/>
          </m:rPr>
          <w:rPr>
            <w:rFonts w:ascii="Cambria Math" w:hAnsi="Cambria Math"/>
          </w:rPr>
          <m:t>O</m:t>
        </m:r>
      </m:oMath>
      <w:r>
        <w:rPr>
          <w:rFonts w:ascii="Times New Roman" w:hAnsi="Times New Roman"/>
          <w:sz w:val="21"/>
        </w:rPr>
        <w:t>). Control mechanisms must achieve automated decision write-back to physical nodes (“human-out-of-the-loop”).</w:t>
      </w:r>
    </w:p>
    <w:p w14:paraId="27F8EEB3" w14:textId="77777777" w:rsidR="00DA2681" w:rsidRDefault="00000000">
      <w:pPr>
        <w:pStyle w:val="Compact"/>
        <w:numPr>
          <w:ilvl w:val="0"/>
          <w:numId w:val="4"/>
        </w:numPr>
        <w:spacing w:after="80" w:line="276" w:lineRule="auto"/>
      </w:pPr>
      <w:r>
        <w:rPr>
          <w:rFonts w:ascii="Times New Roman" w:hAnsi="Times New Roman"/>
          <w:b/>
          <w:bCs/>
          <w:sz w:val="21"/>
        </w:rPr>
        <w:t>Principle 7: Dynamics (Physical Fulcrum &amp; Leverage)</w:t>
      </w:r>
      <w:r>
        <w:rPr>
          <w:rFonts w:ascii="Times New Roman" w:hAnsi="Times New Roman"/>
          <w:sz w:val="21"/>
        </w:rPr>
        <w:t xml:space="preserve">: Control energy must be applied precisely to active bottleneck fulcrums </w:t>
      </w:r>
      <m:oMath>
        <m:sSub>
          <m:sSubPr>
            <m:ctrlPr>
              <w:rPr>
                <w:rFonts w:ascii="Cambria Math" w:hAnsi="Cambria Math"/>
              </w:rPr>
            </m:ctrlPr>
          </m:sSubPr>
          <m:e>
            <m:r>
              <m:rPr>
                <m:sty m:val="bi"/>
              </m:rPr>
              <w:rPr>
                <w:rFonts w:ascii="Cambria Math" w:hAnsi="Cambria Math"/>
              </w:rPr>
              <m:t>x</m:t>
            </m:r>
          </m:e>
          <m:sub>
            <m:r>
              <m:rPr>
                <m:nor/>
              </m:rPr>
              <m:t>fulcrum</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active</m:t>
            </m:r>
          </m:sub>
        </m:sSub>
      </m:oMath>
      <w:r>
        <w:rPr>
          <w:rFonts w:ascii="Times New Roman" w:hAnsi="Times New Roman"/>
          <w:sz w:val="21"/>
        </w:rPr>
        <w:t>, minimizing mismatch angles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rPr>
          <w:rFonts w:ascii="Times New Roman" w:hAnsi="Times New Roman"/>
          <w:sz w:val="21"/>
        </w:rPr>
        <w:t>) to maximize effective work output.</w:t>
      </w:r>
    </w:p>
    <w:p w14:paraId="13EA1B00" w14:textId="77777777" w:rsidR="00DA2681" w:rsidRDefault="00000000">
      <w:pPr>
        <w:pStyle w:val="Compact"/>
        <w:numPr>
          <w:ilvl w:val="0"/>
          <w:numId w:val="4"/>
        </w:numPr>
        <w:spacing w:after="80" w:line="276" w:lineRule="auto"/>
      </w:pPr>
      <w:r>
        <w:rPr>
          <w:rFonts w:ascii="Times New Roman" w:hAnsi="Times New Roman"/>
          <w:b/>
          <w:bCs/>
          <w:sz w:val="21"/>
        </w:rPr>
        <w:lastRenderedPageBreak/>
        <w:t>Principle 8: Evolution Theory (Second-Order Introspection)</w:t>
      </w:r>
      <w:r>
        <w:rPr>
          <w:rFonts w:ascii="Times New Roman" w:hAnsi="Times New Roman"/>
          <w:sz w:val="21"/>
        </w:rPr>
        <w:t xml:space="preserve">: Routine operations are executed autonomously by silicon. When residual exceeds threshold </w:t>
      </w:r>
      <m:oMath>
        <m:r>
          <m:rPr>
            <m:sty m:val="b"/>
          </m:rPr>
          <w:rPr>
            <w:rFonts w:ascii="Cambria Math" w:hAnsi="Cambria Math"/>
          </w:rPr>
          <m:t>Δ</m:t>
        </m:r>
        <m:r>
          <m:rPr>
            <m:sty m:val="p"/>
          </m:rPr>
          <w:rPr>
            <w:rFonts w:ascii="Cambria Math" w:hAnsi="Cambria Math"/>
          </w:rPr>
          <m:t>&gt;</m:t>
        </m:r>
        <m:sSub>
          <m:sSubPr>
            <m:ctrlPr>
              <w:rPr>
                <w:rFonts w:ascii="Cambria Math" w:hAnsi="Cambria Math"/>
              </w:rPr>
            </m:ctrlPr>
          </m:sSubPr>
          <m:e>
            <m:r>
              <w:rPr>
                <w:rFonts w:ascii="Cambria Math" w:hAnsi="Cambria Math"/>
              </w:rPr>
              <m:t>θ</m:t>
            </m:r>
          </m:e>
          <m:sub>
            <m:r>
              <m:rPr>
                <m:sty m:val="p"/>
              </m:rPr>
              <w:rPr>
                <w:rFonts w:ascii="Cambria Math" w:hAnsi="Cambria Math"/>
              </w:rPr>
              <m:t>trigger</m:t>
            </m:r>
          </m:sub>
        </m:sSub>
      </m:oMath>
      <w:r>
        <w:rPr>
          <w:rFonts w:ascii="Times New Roman" w:hAnsi="Times New Roman"/>
          <w:sz w:val="21"/>
        </w:rPr>
        <w:t xml:space="preserve">, human operators invoke second-order meta-operators </w:t>
      </w:r>
      <m:oMath>
        <m:sSub>
          <m:sSubPr>
            <m:ctrlPr>
              <w:rPr>
                <w:rFonts w:ascii="Cambria Math" w:hAnsi="Cambria Math"/>
              </w:rPr>
            </m:ctrlPr>
          </m:sSubPr>
          <m:e>
            <m:r>
              <m:rPr>
                <m:sty m:val="b"/>
              </m:rPr>
              <w:rPr>
                <w:rFonts w:ascii="Cambria Math" w:hAnsi="Cambria Math"/>
              </w:rPr>
              <m:t>Φ</m:t>
            </m:r>
          </m:e>
          <m:sub>
            <m:r>
              <m:rPr>
                <m:sty m:val="p"/>
              </m:rPr>
              <w:rPr>
                <w:rFonts w:ascii="Cambria Math" w:hAnsi="Cambria Math"/>
              </w:rPr>
              <m:t>Human</m:t>
            </m:r>
          </m:sub>
        </m:sSub>
      </m:oMath>
      <w:r>
        <w:rPr>
          <w:rFonts w:ascii="Times New Roman" w:hAnsi="Times New Roman"/>
          <w:sz w:val="21"/>
        </w:rPr>
        <w:t xml:space="preserve"> to rewrite foundational axioms (</w:t>
      </w:r>
      <m:oMath>
        <m:r>
          <m:rPr>
            <m:sty m:val="b"/>
          </m:rPr>
          <w:rPr>
            <w:rFonts w:ascii="Cambria Math" w:hAnsi="Cambria Math"/>
          </w:rPr>
          <m:t>Φ</m:t>
        </m:r>
        <m:r>
          <m:rPr>
            <m:sty m:val="p"/>
          </m:rPr>
          <w:rPr>
            <w:rFonts w:ascii="Cambria Math" w:hAnsi="Cambria Math"/>
          </w:rPr>
          <m:t>:</m:t>
        </m:r>
        <m:sSub>
          <m:sSubPr>
            <m:ctrlPr>
              <w:rPr>
                <w:rFonts w:ascii="Cambria Math" w:hAnsi="Cambria Math"/>
              </w:rPr>
            </m:ctrlPr>
          </m:sSubPr>
          <m:e>
            <m:r>
              <m:rPr>
                <m:sty m:val="b"/>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rPr>
          <w:rFonts w:ascii="Times New Roman" w:hAnsi="Times New Roman"/>
          <w:sz w:val="21"/>
        </w:rPr>
        <w:t>).</w:t>
      </w:r>
    </w:p>
    <w:p w14:paraId="171A9DE7" w14:textId="77777777" w:rsidR="00DA2681" w:rsidRDefault="00000000">
      <w:pPr>
        <w:spacing w:after="80" w:line="276" w:lineRule="auto"/>
      </w:pPr>
      <w:r>
        <w:rPr>
          <w:rFonts w:ascii="Times New Roman" w:hAnsi="Times New Roman"/>
          <w:sz w:val="21"/>
        </w:rPr>
        <w:pict w14:anchorId="0CCA689F">
          <v:rect id="_x0000_i1029" style="width:0;height:1.5pt" o:hralign="center" o:hrstd="t" o:hr="t"/>
        </w:pict>
      </w:r>
    </w:p>
    <w:p w14:paraId="732864A8" w14:textId="77777777" w:rsidR="00DA2681" w:rsidRDefault="00000000">
      <w:pPr>
        <w:pStyle w:val="2"/>
        <w:spacing w:before="240"/>
      </w:pPr>
      <w:bookmarkStart w:id="11" w:name="X64c18da95e28e9cc706d9f1be6d1cb28d9b339b"/>
      <w:bookmarkEnd w:id="8"/>
      <w:bookmarkEnd w:id="10"/>
      <w:r>
        <w:rPr>
          <w:rFonts w:ascii="Times New Roman" w:hAnsi="Times New Roman"/>
          <w:b/>
          <w:color w:val="222222"/>
          <w:sz w:val="23"/>
        </w:rPr>
        <w:t>4. Formal Derivations: Vector Cancellation, Double-Helix Pruning, and OCGS Proofs</w:t>
      </w:r>
    </w:p>
    <w:p w14:paraId="6FAA74A5" w14:textId="77777777" w:rsidR="00DA2681" w:rsidRDefault="00000000">
      <w:pPr>
        <w:pStyle w:val="3"/>
        <w:spacing w:before="320" w:after="120"/>
      </w:pPr>
      <w:bookmarkStart w:id="12" w:name="X2a9b9c1d0618397929a1c3c5d5ea9b925a81a52"/>
      <w:r>
        <w:rPr>
          <w:rFonts w:ascii="Times New Roman" w:hAnsi="Times New Roman"/>
          <w:b/>
          <w:color w:val="111111"/>
          <w:sz w:val="26"/>
        </w:rPr>
        <w:t>4.1 Theorem 1: Vector Cancellation Law and Physical Dissipative Heat Theorem</w:t>
      </w:r>
    </w:p>
    <w:p w14:paraId="7949C244" w14:textId="77777777" w:rsidR="00DA2681" w:rsidRDefault="00000000">
      <w:pPr>
        <w:pStyle w:val="FirstParagraph"/>
        <w:spacing w:after="80" w:line="276" w:lineRule="auto"/>
      </w:pPr>
      <w:r>
        <w:rPr>
          <w:rFonts w:ascii="Times New Roman" w:hAnsi="Times New Roman"/>
          <w:sz w:val="21"/>
        </w:rPr>
        <w:t xml:space="preserve">In a Non-IID value network, let </w:t>
      </w:r>
      <m:oMath>
        <m:r>
          <w:rPr>
            <w:rFonts w:ascii="Cambria Math" w:hAnsi="Cambria Math"/>
          </w:rPr>
          <m:t>N</m:t>
        </m:r>
      </m:oMath>
      <w:r>
        <w:rPr>
          <w:rFonts w:ascii="Times New Roman" w:hAnsi="Times New Roman"/>
          <w:sz w:val="21"/>
        </w:rPr>
        <w:t xml:space="preserve"> micro-nodes exert control velocity vectors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num>
          <m:den>
            <m:r>
              <m:rPr>
                <m:sty m:val="p"/>
              </m:rPr>
              <w:rPr>
                <w:rFonts w:ascii="Cambria Math" w:hAnsi="Cambria Math"/>
              </w:rPr>
              <m:t>d</m:t>
            </m:r>
            <m:r>
              <w:rPr>
                <w:rFonts w:ascii="Cambria Math" w:hAnsi="Cambria Math"/>
              </w:rPr>
              <m:t>t</m:t>
            </m:r>
          </m:den>
        </m:f>
      </m:oMath>
      <w:r>
        <w:rPr>
          <w:rFonts w:ascii="Times New Roman" w:hAnsi="Times New Roman"/>
          <w:sz w:val="21"/>
        </w:rPr>
        <w:t>. Under non-orthogonal coupling and mutual competition, the vector triangle inequality dictates:</w:t>
      </w:r>
    </w:p>
    <w:p w14:paraId="1DAEB34D" w14:textId="77777777" w:rsidR="00DA2681" w:rsidRDefault="00000000">
      <w:pPr>
        <w:pStyle w:val="a0"/>
        <w:spacing w:after="80" w:line="276" w:lineRule="auto"/>
      </w:pPr>
      <m:oMathPara>
        <m:oMathParaPr>
          <m:jc m:val="center"/>
        </m:oMathParaP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m:oMathPara>
    </w:p>
    <w:p w14:paraId="5221498B" w14:textId="77777777" w:rsidR="00DA2681" w:rsidRDefault="00000000">
      <w:pPr>
        <w:pStyle w:val="FirstParagraph"/>
        <w:spacing w:after="80" w:line="276" w:lineRule="auto"/>
      </w:pPr>
      <w:r>
        <w:rPr>
          <w:rFonts w:ascii="Times New Roman" w:hAnsi="Times New Roman"/>
          <w:sz w:val="21"/>
        </w:rPr>
        <w:t xml:space="preserve">The work energy canceled due to physical interference is defined as </w:t>
      </w:r>
      <w:r>
        <w:rPr>
          <w:rFonts w:ascii="Times New Roman" w:hAnsi="Times New Roman"/>
          <w:b/>
          <w:bCs/>
          <w:sz w:val="21"/>
        </w:rPr>
        <w:t>Coordinated Dissipative Heat</w:t>
      </w:r>
      <w:r>
        <w:rPr>
          <w:rFonts w:ascii="Times New Roman" w:hAnsi="Times New Roman"/>
          <w:sz w:val="21"/>
        </w:rPr>
        <w:t>:</w:t>
      </w:r>
    </w:p>
    <w:p w14:paraId="620F38A7" w14:textId="77777777" w:rsidR="00DA2681" w:rsidRDefault="00000000">
      <w:pPr>
        <w:pStyle w:val="a0"/>
        <w:spacing w:after="80" w:line="276" w:lineRule="auto"/>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14:paraId="7CFD52BA" w14:textId="77777777" w:rsidR="00DA2681" w:rsidRDefault="00000000">
      <w:pPr>
        <w:pStyle w:val="FirstParagraph"/>
        <w:spacing w:after="80" w:line="276" w:lineRule="auto"/>
      </w:pPr>
      <w:r>
        <w:rPr>
          <w:rFonts w:ascii="Times New Roman" w:hAnsi="Times New Roman"/>
          <w:sz w:val="21"/>
        </w:rPr>
        <w:t xml:space="preserve">Physically,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oMath>
      <w:r>
        <w:rPr>
          <w:rFonts w:ascii="Times New Roman" w:hAnsi="Times New Roman"/>
          <w:sz w:val="21"/>
        </w:rPr>
        <w:t xml:space="preserve"> manifests as non-orthogonal control interference; operationally, it converts into prolonged Work-in-Progress (WIP) durations and idle machine hours; financially, it increases Cost of Goods Sold (COGS) and inflates Net Working Capital (NWC), depressing NOPAT and expanding Invested Capital, ultimately driving ROIC downward. As mismatch angle </w:t>
      </w:r>
      <m:oMath>
        <m:r>
          <w:rPr>
            <w:rFonts w:ascii="Cambria Math" w:hAnsi="Cambria Math"/>
          </w:rPr>
          <m:t>θ</m:t>
        </m:r>
        <m:r>
          <m:rPr>
            <m:sty m:val="p"/>
          </m:rPr>
          <w:rPr>
            <w:rFonts w:ascii="Cambria Math" w:hAnsi="Cambria Math"/>
          </w:rPr>
          <m:t>→</m:t>
        </m:r>
        <m:r>
          <w:rPr>
            <w:rFonts w:ascii="Cambria Math" w:hAnsi="Cambria Math"/>
          </w:rPr>
          <m:t>0</m:t>
        </m:r>
      </m:oMath>
      <w:r>
        <w:rPr>
          <w:rFonts w:ascii="Times New Roman" w:hAnsi="Times New Roman"/>
          <w:sz w:val="21"/>
        </w:rPr>
        <w:t xml:space="preserve">, effective work conversion reaches its theoretical limit </w:t>
      </w:r>
      <m:oMath>
        <m:sSub>
          <m:sSubPr>
            <m:ctrlPr>
              <w:rPr>
                <w:rFonts w:ascii="Cambria Math" w:hAnsi="Cambria Math"/>
              </w:rPr>
            </m:ctrlPr>
          </m:sSubPr>
          <m:e>
            <m:r>
              <w:rPr>
                <w:rFonts w:ascii="Cambria Math" w:hAnsi="Cambria Math"/>
              </w:rPr>
              <m:t>W</m:t>
            </m:r>
          </m:e>
          <m:sub>
            <m:r>
              <m:rPr>
                <m:sty m:val="p"/>
              </m:rP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total</m:t>
            </m:r>
          </m:sub>
        </m:sSub>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total</m:t>
            </m:r>
          </m:sub>
        </m:sSub>
      </m:oMath>
      <w:r>
        <w:rPr>
          <w:rFonts w:ascii="Times New Roman" w:hAnsi="Times New Roman"/>
          <w:sz w:val="21"/>
        </w:rPr>
        <w:t>.</w:t>
      </w:r>
    </w:p>
    <w:p w14:paraId="1D5BB7A3" w14:textId="77777777" w:rsidR="00DA2681" w:rsidRDefault="00000000">
      <w:pPr>
        <w:pStyle w:val="3"/>
        <w:spacing w:before="320" w:after="120"/>
      </w:pPr>
      <w:bookmarkStart w:id="13" w:name="Xfc8d2d623848f7747f5085f83f35b46ad547e83"/>
      <w:bookmarkEnd w:id="12"/>
      <w:r>
        <w:rPr>
          <w:rFonts w:ascii="Times New Roman" w:hAnsi="Times New Roman"/>
          <w:b/>
          <w:color w:val="111111"/>
          <w:sz w:val="26"/>
        </w:rPr>
        <w:t>4.2 Theorem 2: 5D Double-Helix Algebraic Pruning and Complexity Convergence</w:t>
      </w:r>
    </w:p>
    <w:p w14:paraId="62A0AAAD" w14:textId="77777777" w:rsidR="00DA2681" w:rsidRDefault="00000000">
      <w:pPr>
        <w:pStyle w:val="FirstParagraph"/>
        <w:spacing w:after="80" w:line="276" w:lineRule="auto"/>
      </w:pPr>
      <w:r>
        <w:rPr>
          <w:rFonts w:ascii="Times New Roman" w:hAnsi="Times New Roman"/>
          <w:sz w:val="21"/>
        </w:rPr>
        <w:t>The solver architecture executes a recursive triple:</w:t>
      </w:r>
    </w:p>
    <w:p w14:paraId="48C08D1B" w14:textId="77777777" w:rsidR="00DA2681" w:rsidRDefault="00000000">
      <w:pPr>
        <w:pStyle w:val="a0"/>
        <w:spacing w:after="80" w:line="276" w:lineRule="auto"/>
      </w:pPr>
      <m:oMathPara>
        <m:oMathParaPr>
          <m:jc m:val="center"/>
        </m:oMathParaP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target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state</m:t>
                        </m:r>
                      </m:sub>
                    </m:sSub>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e>
                  <m:e>
                    <m:r>
                      <m:rPr>
                        <m:nor/>
                      </m:rPr>
                      <m:t>(Pre-computation Input: Holographic 5D State)</m:t>
                    </m:r>
                  </m:e>
                </m:mr>
                <m:mr>
                  <m:e>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cr m:val="script"/>
                        <m:sty m:val="p"/>
                      </m:rPr>
                      <w:rPr>
                        <w:rFonts w:ascii="Cambria Math" w:hAnsi="Cambria Math"/>
                      </w:rPr>
                      <m:t>))=A(</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e>
                  <m:e>
                    <m:r>
                      <m:rPr>
                        <m:nor/>
                      </m:rPr>
                      <m:t>(In-computation Output: Optimal Control &amp;Transition)</m:t>
                    </m:r>
                  </m:e>
                </m:mr>
                <m:mr>
                  <m:e>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e>
                  <m:e>
                    <m:r>
                      <m:rPr>
                        <m:nor/>
                      </m:rPr>
                      <m:t>(Post-computation State: Next Phase Coordinates)</m:t>
                    </m:r>
                  </m:e>
                </m:mr>
              </m:m>
            </m:e>
          </m:d>
        </m:oMath>
      </m:oMathPara>
    </w:p>
    <w:p w14:paraId="1DF231FB" w14:textId="77777777" w:rsidR="00DA2681" w:rsidRDefault="00000000">
      <w:pPr>
        <w:pStyle w:val="FirstParagraph"/>
        <w:spacing w:after="80" w:line="276" w:lineRule="auto"/>
      </w:pPr>
      <w:r>
        <w:rPr>
          <w:rFonts w:ascii="Times New Roman" w:hAnsi="Times New Roman"/>
          <w:b/>
          <w:bCs/>
          <w:sz w:val="21"/>
        </w:rPr>
        <w:t>Proof</w:t>
      </w:r>
      <w:r>
        <w:rPr>
          <w:rFonts w:ascii="Times New Roman" w:hAnsi="Times New Roman"/>
          <w:sz w:val="21"/>
        </w:rPr>
        <w:t xml:space="preserve">: Prior Partition Operator </w:t>
      </w:r>
      <m:oMath>
        <m:r>
          <m:rPr>
            <m:sty m:val="b"/>
          </m:rPr>
          <w:rPr>
            <w:rFonts w:ascii="Cambria Math" w:hAnsi="Cambria Math"/>
          </w:rPr>
          <m:t>Π</m:t>
        </m:r>
      </m:oMath>
      <w:r>
        <w:rPr>
          <w:rFonts w:ascii="Times New Roman" w:hAnsi="Times New Roman"/>
          <w:sz w:val="21"/>
        </w:rPr>
        <w:t xml:space="preserve"> clips the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sz w:val="21"/>
        </w:rPr>
        <w:t xml:space="preserve"> combinatorial phase space to bounded feasible domain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feasible</m:t>
            </m:r>
          </m:sub>
        </m:sSub>
      </m:oMath>
      <w:r>
        <w:rPr>
          <w:rFonts w:ascii="Times New Roman" w:hAnsi="Times New Roman"/>
          <w:sz w:val="21"/>
        </w:rPr>
        <w:t xml:space="preserve"> along DAG topological ordering. Rigid Manifold Operator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rPr>
          <w:rFonts w:ascii="Times New Roman" w:hAnsi="Times New Roman"/>
          <w:sz w:val="21"/>
        </w:rPr>
        <w:t xml:space="preserve"> enforces normal constraints, stripping internal friction degrees of freedom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rPr>
          <w:rFonts w:ascii="Times New Roman" w:hAnsi="Times New Roman"/>
          <w:sz w:val="21"/>
        </w:rPr>
        <w:t xml:space="preserve">). For networks with bounded treewidth </w:t>
      </w:r>
      <m:oMath>
        <m:r>
          <w:rPr>
            <w:rFonts w:ascii="Cambria Math" w:hAnsi="Cambria Math"/>
          </w:rPr>
          <m:t>tw</m:t>
        </m:r>
        <m:r>
          <m:rPr>
            <m:sty m:val="p"/>
          </m:rPr>
          <w:rPr>
            <w:rFonts w:ascii="Cambria Math" w:hAnsi="Cambria Math"/>
          </w:rPr>
          <m:t>∼</m:t>
        </m:r>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Times New Roman" w:hAnsi="Times New Roman"/>
          <w:sz w:val="21"/>
        </w:rPr>
        <w:t xml:space="preserve">, search complexity is pruned from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sz w:val="21"/>
        </w:rPr>
        <w:t xml:space="preserve"> to a tight empirical upper bound of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Times New Roman" w:hAnsi="Times New Roman"/>
          <w:sz w:val="21"/>
        </w:rPr>
        <w:t>, successfully bypassing combinatorial explosion.</w:t>
      </w:r>
    </w:p>
    <w:p w14:paraId="6F74369C" w14:textId="77777777" w:rsidR="00DA2681" w:rsidRDefault="00000000">
      <w:pPr>
        <w:pStyle w:val="3"/>
        <w:spacing w:before="320" w:after="120"/>
      </w:pPr>
      <w:bookmarkStart w:id="14" w:name="X9a90862f42aa6784826bb06203ca3bad09be0c7"/>
      <w:bookmarkEnd w:id="13"/>
      <w:r>
        <w:rPr>
          <w:rFonts w:ascii="Times New Roman" w:hAnsi="Times New Roman"/>
          <w:b/>
          <w:color w:val="111111"/>
          <w:sz w:val="26"/>
        </w:rPr>
        <w:t>4.3 Theorem 3: Banach Space Convergence and Compact Support Projection</w:t>
      </w:r>
    </w:p>
    <w:p w14:paraId="585FE300" w14:textId="77777777" w:rsidR="00DA2681" w:rsidRDefault="00000000">
      <w:pPr>
        <w:pStyle w:val="FirstParagraph"/>
        <w:spacing w:after="80" w:line="276" w:lineRule="auto"/>
      </w:pPr>
      <w:r>
        <w:rPr>
          <w:rFonts w:ascii="Times New Roman" w:hAnsi="Times New Roman"/>
          <w:sz w:val="21"/>
        </w:rPr>
        <w:t xml:space="preserve">In continuous metric space </w:t>
      </w:r>
      <m:oMath>
        <m:r>
          <m:rPr>
            <m:sty m:val="p"/>
          </m:rPr>
          <w:rPr>
            <w:rFonts w:ascii="Cambria Math" w:hAnsi="Cambria Math"/>
          </w:rPr>
          <m:t>(Ω,∥⋅</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w:r>
        <w:rPr>
          <w:rFonts w:ascii="Times New Roman" w:hAnsi="Times New Roman"/>
          <w:sz w:val="21"/>
        </w:rPr>
        <w:t xml:space="preserve">, the topological connection matrix </w:t>
      </w:r>
      <m:oMath>
        <m:r>
          <m:rPr>
            <m:sty m:val="bi"/>
          </m:rPr>
          <w:rPr>
            <w:rFonts w:ascii="Cambria Math" w:hAnsi="Cambria Math"/>
          </w:rPr>
          <m:t>A</m:t>
        </m:r>
        <m:r>
          <m:rPr>
            <m:sty m:val="p"/>
          </m:rPr>
          <w:rPr>
            <w:rFonts w:ascii="Cambria Math" w:hAnsi="Cambria Math"/>
          </w:rPr>
          <m:t>(</m:t>
        </m:r>
        <m:r>
          <w:rPr>
            <w:rFonts w:ascii="Cambria Math" w:hAnsi="Cambria Math"/>
          </w:rPr>
          <m:t>τ</m:t>
        </m:r>
        <m:r>
          <m:rPr>
            <m:sty m:val="p"/>
          </m:rPr>
          <w:rPr>
            <w:rFonts w:ascii="Cambria Math" w:hAnsi="Cambria Math"/>
          </w:rPr>
          <m:t>)</m:t>
        </m:r>
      </m:oMath>
      <w:r>
        <w:rPr>
          <w:rFonts w:ascii="Times New Roman" w:hAnsi="Times New Roman"/>
          <w:sz w:val="21"/>
        </w:rPr>
        <w:t xml:space="preserve"> evolves according to:</w:t>
      </w:r>
    </w:p>
    <w:p w14:paraId="7194593A" w14:textId="77777777" w:rsidR="00DA2681" w:rsidRDefault="00000000">
      <w:pPr>
        <w:pStyle w:val="a0"/>
        <w:spacing w:after="80" w:line="276" w:lineRule="auto"/>
      </w:pPr>
      <m:oMathPara>
        <m:oMathParaPr>
          <m:jc m:val="center"/>
        </m:oMathParaPr>
        <m:oMath>
          <m:r>
            <m:rPr>
              <m:sty m:val="bi"/>
            </m:rPr>
            <w:rPr>
              <w:rFonts w:ascii="Cambria Math" w:hAnsi="Cambria Math"/>
            </w:rPr>
            <w:lastRenderedPageBreak/>
            <m:t>A</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0</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λ</m:t>
              </m:r>
              <m:nary>
                <m:naryPr>
                  <m:limLoc m:val="subSup"/>
                  <m:ctrlPr>
                    <w:rPr>
                      <w:rFonts w:ascii="Cambria Math" w:hAnsi="Cambria Math"/>
                    </w:rPr>
                  </m:ctrlPr>
                </m:naryPr>
                <m:sub>
                  <m:r>
                    <w:rPr>
                      <w:rFonts w:ascii="Cambria Math" w:hAnsi="Cambria Math"/>
                    </w:rPr>
                    <m:t>0</m:t>
                  </m:r>
                </m:sub>
                <m:sup>
                  <m:r>
                    <w:rPr>
                      <w:rFonts w:ascii="Cambria Math" w:hAnsi="Cambria Math"/>
                    </w:rPr>
                    <m:t>τ</m:t>
                  </m:r>
                </m:sup>
                <m:e>
                  <m:r>
                    <m:rPr>
                      <m:sty m:val="p"/>
                    </m:rPr>
                    <w:rPr>
                      <w:rFonts w:ascii="Cambria Math" w:hAnsi="Cambria Math"/>
                    </w:rPr>
                    <m:t>Δ</m:t>
                  </m:r>
                </m:e>
              </m:nary>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ds</m:t>
              </m:r>
            </m:e>
          </m:d>
          <m:r>
            <m:rPr>
              <m:sty m:val="p"/>
            </m:rPr>
            <w:rPr>
              <w:rFonts w:ascii="Cambria Math" w:hAnsi="Cambria Math"/>
            </w:rPr>
            <m:t>+</m:t>
          </m:r>
          <m:r>
            <w:rPr>
              <w:rFonts w:ascii="Cambria Math" w:hAnsi="Cambria Math"/>
            </w:rPr>
            <m:t>δ</m:t>
          </m:r>
          <m:r>
            <m:rPr>
              <m:sty m:val="p"/>
            </m:rPr>
            <w:rPr>
              <w:rFonts w:ascii="Cambria Math" w:hAnsi="Cambria Math"/>
            </w:rPr>
            <m:t>⋅</m:t>
          </m:r>
          <m:r>
            <m:rPr>
              <m:sty m:val="b"/>
            </m:rPr>
            <w:rPr>
              <w:rFonts w:ascii="Cambria Math" w:hAnsi="Cambria Math"/>
            </w:rPr>
            <m:t>Φ</m:t>
          </m:r>
          <m:r>
            <m:rPr>
              <m:sty m:val="p"/>
            </m:rPr>
            <w:rPr>
              <w:rFonts w:ascii="Cambria Math" w:hAnsi="Cambria Math"/>
            </w:rPr>
            <m:t>(</m:t>
          </m:r>
          <m:sSub>
            <m:sSubPr>
              <m:ctrlPr>
                <w:rPr>
                  <w:rFonts w:ascii="Cambria Math" w:hAnsi="Cambria Math"/>
                </w:rPr>
              </m:ctrlPr>
            </m:sSubPr>
            <m:e>
              <m:r>
                <m:rPr>
                  <m:sty m:val="b"/>
                </m:rPr>
                <w:rPr>
                  <w:rFonts w:ascii="Cambria Math" w:hAnsi="Cambria Math"/>
                </w:rPr>
                <m:t>Π</m:t>
              </m:r>
            </m:e>
            <m:sub>
              <m:r>
                <w:rPr>
                  <w:rFonts w:ascii="Cambria Math" w:hAnsi="Cambria Math"/>
                </w:rPr>
                <m:t>k</m:t>
              </m:r>
            </m:sub>
          </m:sSub>
          <m:r>
            <m:rPr>
              <m:sty m:val="p"/>
            </m:rPr>
            <w:rPr>
              <w:rFonts w:ascii="Cambria Math" w:hAnsi="Cambria Math"/>
            </w:rPr>
            <m:t>)</m:t>
          </m:r>
        </m:oMath>
      </m:oMathPara>
    </w:p>
    <w:p w14:paraId="63300B4A" w14:textId="77777777" w:rsidR="00DA2681" w:rsidRDefault="00000000">
      <w:pPr>
        <w:pStyle w:val="FirstParagraph"/>
        <w:spacing w:after="80" w:line="276" w:lineRule="auto"/>
      </w:pPr>
      <w:r>
        <w:rPr>
          <w:rFonts w:ascii="Times New Roman" w:hAnsi="Times New Roman"/>
          <w:sz w:val="21"/>
        </w:rPr>
        <w:t xml:space="preserve">Under friction dissipation </w:t>
      </w:r>
      <m:oMath>
        <m:r>
          <w:rPr>
            <w:rFonts w:ascii="Cambria Math" w:hAnsi="Cambria Math"/>
          </w:rPr>
          <m:t>λ</m:t>
        </m:r>
        <m:r>
          <m:rPr>
            <m:sty m:val="p"/>
          </m:rPr>
          <w:rPr>
            <w:rFonts w:ascii="Cambria Math" w:hAnsi="Cambria Math"/>
          </w:rPr>
          <m:t>&gt;</m:t>
        </m:r>
        <m:r>
          <w:rPr>
            <w:rFonts w:ascii="Cambria Math" w:hAnsi="Cambria Math"/>
          </w:rPr>
          <m:t>0</m:t>
        </m:r>
      </m:oMath>
      <w:r>
        <w:rPr>
          <w:rFonts w:ascii="Times New Roman" w:hAnsi="Times New Roman"/>
          <w:sz w:val="21"/>
        </w:rPr>
        <w:t xml:space="preserve"> and bounded second-order reconstruction </w:t>
      </w:r>
      <m:oMath>
        <m:r>
          <m:rPr>
            <m:sty m:val="p"/>
          </m:rPr>
          <w:rPr>
            <w:rFonts w:ascii="Cambria Math" w:hAnsi="Cambria Math"/>
          </w:rPr>
          <m:t>∥</m:t>
        </m:r>
        <m:r>
          <m:rPr>
            <m:sty m:val="b"/>
          </m:rPr>
          <w:rPr>
            <w:rFonts w:ascii="Cambria Math" w:hAnsi="Cambria Math"/>
          </w:rPr>
          <m:t>Φ</m:t>
        </m:r>
        <m:r>
          <m:rPr>
            <m:sty m:val="p"/>
          </m:rPr>
          <w:rPr>
            <w:rFonts w:ascii="Cambria Math" w:hAnsi="Cambria Math"/>
          </w:rPr>
          <m:t>(</m:t>
        </m:r>
        <m:sSub>
          <m:sSubPr>
            <m:ctrlPr>
              <w:rPr>
                <w:rFonts w:ascii="Cambria Math" w:hAnsi="Cambria Math"/>
              </w:rPr>
            </m:ctrlPr>
          </m:sSubPr>
          <m:e>
            <m:r>
              <m:rPr>
                <m:sty m:val="b"/>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oMath>
      <w:r>
        <w:rPr>
          <w:rFonts w:ascii="Times New Roman" w:hAnsi="Times New Roman"/>
          <w:sz w:val="21"/>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&lt;∞</m:t>
        </m:r>
      </m:oMath>
      <w:r>
        <w:rPr>
          <w:rFonts w:ascii="Times New Roman" w:hAnsi="Times New Roman"/>
          <w:sz w:val="21"/>
        </w:rPr>
        <w:t xml:space="preserve">), the spectral radius satisfies </w:t>
      </w:r>
      <m:oMath>
        <m:r>
          <w:rPr>
            <w:rFonts w:ascii="Cambria Math" w:hAnsi="Cambria Math"/>
          </w:rPr>
          <m:t>ρ</m:t>
        </m:r>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τ</m:t>
        </m:r>
        <m:r>
          <m:rPr>
            <m:sty m:val="p"/>
          </m:rPr>
          <w:rPr>
            <w:rFonts w:ascii="Cambria Math" w:hAnsi="Cambria Math"/>
          </w:rPr>
          <m:t>))&lt;</m:t>
        </m:r>
        <m:r>
          <w:rPr>
            <w:rFonts w:ascii="Cambria Math" w:hAnsi="Cambria Math"/>
          </w:rPr>
          <m:t>1</m:t>
        </m:r>
      </m:oMath>
      <w:r>
        <w:rPr>
          <w:rFonts w:ascii="Times New Roman" w:hAnsi="Times New Roman"/>
          <w:sz w:val="21"/>
        </w:rPr>
        <w:t xml:space="preserve">. By the </w:t>
      </w:r>
      <w:r>
        <w:rPr>
          <w:rFonts w:ascii="Times New Roman" w:hAnsi="Times New Roman"/>
          <w:b/>
          <w:bCs/>
          <w:sz w:val="21"/>
        </w:rPr>
        <w:t>Banach Contraction Mapping Theorem</w:t>
      </w:r>
      <w:r>
        <w:rPr>
          <w:rFonts w:ascii="Times New Roman" w:hAnsi="Times New Roman"/>
          <w:sz w:val="21"/>
        </w:rPr>
        <w:t xml:space="preserve">, the evolution operator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k</m:t>
            </m:r>
          </m:sub>
        </m:sSub>
      </m:oMath>
      <w:r>
        <w:rPr>
          <w:rFonts w:ascii="Times New Roman" w:hAnsi="Times New Roman"/>
          <w:sz w:val="21"/>
        </w:rPr>
        <w:t xml:space="preserve"> constitutes a strict contraction with contraction factor </w:t>
      </w:r>
      <m:oMath>
        <m:r>
          <w:rPr>
            <w:rFonts w:ascii="Cambria Math" w:hAnsi="Cambria Math"/>
          </w:rPr>
          <m:t>γ</m:t>
        </m:r>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k</m:t>
            </m:r>
          </m:sub>
        </m:sSub>
        <m:r>
          <m:rPr>
            <m:sty m:val="p"/>
          </m:rPr>
          <w:rPr>
            <w:rFonts w:ascii="Cambria Math" w:hAnsi="Cambria Math"/>
          </w:rPr>
          <m:t>)&lt;</m:t>
        </m:r>
        <m:r>
          <w:rPr>
            <w:rFonts w:ascii="Cambria Math" w:hAnsi="Cambria Math"/>
          </w:rPr>
          <m:t>1</m:t>
        </m:r>
      </m:oMath>
      <w:r>
        <w:rPr>
          <w:rFonts w:ascii="Times New Roman" w:hAnsi="Times New Roman"/>
          <w:sz w:val="21"/>
        </w:rPr>
        <w:t xml:space="preserve">, mathematically guaranteeing the existence and unique convergence to steady state </w:t>
      </w:r>
      <m:oMath>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sup>
        </m:sSubSup>
      </m:oMath>
      <w:r>
        <w:rPr>
          <w:rFonts w:ascii="Times New Roman" w:hAnsi="Times New Roman"/>
          <w:sz w:val="21"/>
        </w:rPr>
        <w:t>.</w:t>
      </w:r>
    </w:p>
    <w:p w14:paraId="452E1496" w14:textId="77777777" w:rsidR="00DA2681" w:rsidRDefault="00000000">
      <w:pPr>
        <w:pStyle w:val="a0"/>
        <w:spacing w:after="80" w:line="276" w:lineRule="auto"/>
      </w:pPr>
      <w:r>
        <w:rPr>
          <w:rFonts w:ascii="Times New Roman" w:hAnsi="Times New Roman"/>
          <w:sz w:val="21"/>
        </w:rPr>
        <w:t>To prevent Goodhart’s Law collapse (</w:t>
      </w:r>
      <m:oMath>
        <m:sSub>
          <m:sSubPr>
            <m:ctrlPr>
              <w:rPr>
                <w:rFonts w:ascii="Cambria Math" w:hAnsi="Cambria Math"/>
              </w:rPr>
            </m:ctrlPr>
          </m:sSubPr>
          <m:e>
            <m:r>
              <m:rPr>
                <m:sty m:val="p"/>
              </m:rPr>
              <w:rPr>
                <w:rFonts w:ascii="Cambria Math" w:hAnsi="Cambria Math"/>
              </w:rPr>
              <m:t>lim</m:t>
            </m:r>
          </m:e>
          <m:sub>
            <m:r>
              <m:rPr>
                <m:nor/>
              </m:rPr>
              <m:t>opt</m:t>
            </m:r>
            <m:r>
              <m:rPr>
                <m:sty m:val="p"/>
              </m:rPr>
              <w:rPr>
                <w:rFonts w:ascii="Cambria Math" w:hAnsi="Cambria Math"/>
              </w:rPr>
              <m:t>→∞</m:t>
            </m:r>
          </m:sub>
        </m:sSub>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w:r>
        <w:rPr>
          <w:rFonts w:ascii="Times New Roman" w:hAnsi="Times New Roman"/>
          <w:sz w:val="21"/>
        </w:rPr>
        <w:t xml:space="preserve">), we introduce the </w:t>
      </w:r>
      <w:r>
        <w:rPr>
          <w:rFonts w:ascii="Times New Roman" w:hAnsi="Times New Roman"/>
          <w:b/>
          <w:bCs/>
          <w:sz w:val="21"/>
        </w:rPr>
        <w:t xml:space="preserve">Compact Support Projection Operator </w:t>
      </w:r>
      <m:oMath>
        <m:sSub>
          <m:sSubPr>
            <m:ctrlPr>
              <w:rPr>
                <w:rFonts w:ascii="Cambria Math" w:hAnsi="Cambria Math"/>
              </w:rPr>
            </m:ctrlPr>
          </m:sSubPr>
          <m:e>
            <m:r>
              <m:rPr>
                <m:sty m:val="bi"/>
              </m:rPr>
              <w:rPr>
                <w:rFonts w:ascii="Cambria Math" w:hAnsi="Cambria Math"/>
              </w:rPr>
              <m:t>E</m:t>
            </m:r>
          </m:e>
          <m:sub>
            <m:r>
              <m:rPr>
                <m:sty m:val="p"/>
              </m:rPr>
              <w:rPr>
                <w:rFonts w:ascii="Cambria Math" w:hAnsi="Cambria Math"/>
              </w:rPr>
              <m:t>supp</m:t>
            </m:r>
          </m:sub>
        </m:sSub>
      </m:oMath>
      <w:r>
        <w:rPr>
          <w:rFonts w:ascii="Times New Roman" w:hAnsi="Times New Roman"/>
          <w:sz w:val="21"/>
        </w:rPr>
        <w:t xml:space="preserve">, restricting residual density </w:t>
      </w:r>
      <m:oMath>
        <m:r>
          <w:rPr>
            <w:rFonts w:ascii="Cambria Math" w:hAnsi="Cambria Math"/>
          </w:rPr>
          <m:t>p</m:t>
        </m:r>
        <m:r>
          <m:rPr>
            <m:sty m:val="p"/>
          </m:rPr>
          <w:rPr>
            <w:rFonts w:ascii="Cambria Math" w:hAnsi="Cambria Math"/>
          </w:rPr>
          <m:t>(</m:t>
        </m:r>
        <m:r>
          <m:rPr>
            <m:sty m:val="b"/>
          </m:rPr>
          <w:rPr>
            <w:rFonts w:ascii="Cambria Math" w:hAnsi="Cambria Math"/>
          </w:rPr>
          <m:t>Δ</m:t>
        </m:r>
        <m:r>
          <m:rPr>
            <m:sty m:val="p"/>
          </m:rPr>
          <w:rPr>
            <w:rFonts w:ascii="Cambria Math" w:hAnsi="Cambria Math"/>
          </w:rPr>
          <m:t>)</m:t>
        </m:r>
      </m:oMath>
      <w:r>
        <w:rPr>
          <w:rFonts w:ascii="Times New Roman" w:hAnsi="Times New Roman"/>
          <w:sz w:val="21"/>
        </w:rPr>
        <w:t xml:space="preserve"> to compact deadband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dead</m:t>
            </m:r>
          </m:sub>
        </m:sSub>
        <m:r>
          <m:rPr>
            <m:sty m:val="p"/>
          </m:rPr>
          <w:rPr>
            <w:rFonts w:ascii="Cambria Math" w:hAnsi="Cambria Math"/>
          </w:rPr>
          <m:t>]</m:t>
        </m:r>
      </m:oMath>
      <w:r>
        <w:rPr>
          <w:rFonts w:ascii="Times New Roman" w:hAnsi="Times New Roman"/>
          <w:sz w:val="21"/>
        </w:rPr>
        <w:t>. The residual variance is strictly bounded:</w:t>
      </w:r>
    </w:p>
    <w:p w14:paraId="13D89E41" w14:textId="77777777" w:rsidR="00DA2681" w:rsidRDefault="00000000">
      <w:pPr>
        <w:pStyle w:val="a0"/>
        <w:spacing w:after="80" w:line="276" w:lineRule="auto"/>
      </w:pPr>
      <m:oMathPara>
        <m:oMathParaPr>
          <m:jc m:val="center"/>
        </m:oMathParaPr>
        <m:oMath>
          <m:r>
            <m:rPr>
              <m:sty m:val="p"/>
            </m:rPr>
            <w:rPr>
              <w:rFonts w:ascii="Cambria Math" w:hAnsi="Cambria Math"/>
            </w:rPr>
            <m:t>Var(</m:t>
          </m:r>
          <m:r>
            <m:rPr>
              <m:sty m:val="b"/>
            </m:rPr>
            <w:rPr>
              <w:rFonts w:ascii="Cambria Math" w:hAnsi="Cambria Math"/>
            </w:rPr>
            <m:t>Δ</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supp</m:t>
              </m:r>
            </m:sub>
          </m:sSub>
          <m:r>
            <m:rPr>
              <m:sty m:val="p"/>
            </m:rPr>
            <w:rPr>
              <w:rFonts w:ascii="Cambria Math" w:hAnsi="Cambria Math"/>
            </w:rPr>
            <m:t>&lt;∞</m:t>
          </m:r>
        </m:oMath>
      </m:oMathPara>
    </w:p>
    <w:p w14:paraId="783BDC55" w14:textId="77777777" w:rsidR="00DA2681" w:rsidRDefault="00000000">
      <w:pPr>
        <w:pStyle w:val="FirstParagraph"/>
        <w:spacing w:after="80" w:line="276" w:lineRule="auto"/>
      </w:pPr>
      <w:r>
        <w:rPr>
          <w:rFonts w:ascii="Times New Roman" w:hAnsi="Times New Roman"/>
          <w:sz w:val="21"/>
        </w:rPr>
        <w:t>ensuring system stability under extreme optimization pressures.</w:t>
      </w:r>
    </w:p>
    <w:p w14:paraId="2B8095FA" w14:textId="77777777" w:rsidR="00DA2681" w:rsidRDefault="00000000">
      <w:pPr>
        <w:spacing w:after="80" w:line="276" w:lineRule="auto"/>
      </w:pPr>
      <w:r>
        <w:rPr>
          <w:rFonts w:ascii="Times New Roman" w:hAnsi="Times New Roman"/>
          <w:sz w:val="21"/>
        </w:rPr>
        <w:pict w14:anchorId="4C1C5CB9">
          <v:rect id="_x0000_i1030" style="width:0;height:1.5pt" o:hralign="center" o:hrstd="t" o:hr="t"/>
        </w:pict>
      </w:r>
    </w:p>
    <w:p w14:paraId="7F065D46" w14:textId="77777777" w:rsidR="00DA2681" w:rsidRDefault="00000000">
      <w:pPr>
        <w:pStyle w:val="3"/>
        <w:spacing w:before="320" w:after="120"/>
      </w:pPr>
      <w:bookmarkStart w:id="15" w:name="Xef60483b551e185a2d6bea3eb572a78651e3ae8"/>
      <w:bookmarkEnd w:id="14"/>
      <w:r>
        <w:rPr>
          <w:rFonts w:ascii="Times New Roman" w:hAnsi="Times New Roman"/>
          <w:b/>
          <w:color w:val="111111"/>
          <w:sz w:val="26"/>
        </w:rPr>
        <w:t>4.4 Master Theorem: Formal Proofs of Qian Xuesen’s OCGS Principles</w:t>
      </w:r>
    </w:p>
    <w:p w14:paraId="3235553F" w14:textId="77777777" w:rsidR="00DA2681" w:rsidRDefault="00000000">
      <w:pPr>
        <w:pStyle w:val="aa"/>
        <w:spacing w:after="80" w:line="276" w:lineRule="auto"/>
      </w:pPr>
      <w:r>
        <w:rPr>
          <w:rFonts w:ascii="Times New Roman" w:hAnsi="Times New Roman"/>
          <w:b/>
          <w:bCs/>
          <w:sz w:val="21"/>
        </w:rPr>
        <w:t>Theorem (Formal Proofs of OCGS Overall Design Department, HWDS, and Human-Machine Integration)</w:t>
      </w:r>
      <w:r>
        <w:rPr>
          <w:rFonts w:ascii="Times New Roman" w:hAnsi="Times New Roman"/>
          <w:sz w:val="21"/>
        </w:rPr>
        <w:t>:</w:t>
      </w:r>
      <w:r>
        <w:rPr>
          <w:rFonts w:ascii="Times New Roman" w:hAnsi="Times New Roman"/>
          <w:sz w:val="21"/>
        </w:rPr>
        <w:br/>
        <w:t xml:space="preserve">Given an Open Complex Giant System </w:t>
      </w:r>
      <m:oMath>
        <m:sSub>
          <m:sSubPr>
            <m:ctrlPr>
              <w:rPr>
                <w:rFonts w:ascii="Cambria Math" w:hAnsi="Cambria Math"/>
              </w:rPr>
            </m:ctrlPr>
          </m:sSubPr>
          <m:e>
            <m:r>
              <m:rPr>
                <m:scr m:val="script"/>
                <m:sty m:val="p"/>
              </m:rPr>
              <w:rPr>
                <w:rFonts w:ascii="Cambria Math" w:hAnsi="Cambria Math"/>
              </w:rPr>
              <m:t>S</m:t>
            </m:r>
          </m:e>
          <m:sub>
            <m:r>
              <m:rPr>
                <m:nor/>
              </m:rPr>
              <m:t>OCGS</m:t>
            </m:r>
          </m:sub>
        </m:sSub>
      </m:oMath>
      <w:r>
        <w:rPr>
          <w:rFonts w:ascii="Times New Roman" w:hAnsi="Times New Roman"/>
          <w:sz w:val="21"/>
        </w:rPr>
        <w:t xml:space="preserve"> in a Non-IID strongly-coupled state:</w:t>
      </w:r>
    </w:p>
    <w:p w14:paraId="43140D74" w14:textId="77777777" w:rsidR="00DA2681" w:rsidRDefault="00000000">
      <w:pPr>
        <w:pStyle w:val="aa"/>
        <w:spacing w:after="80" w:line="276" w:lineRule="auto"/>
      </w:pPr>
      <w:r>
        <w:rPr>
          <w:rFonts w:ascii="Times New Roman" w:hAnsi="Times New Roman"/>
          <w:b/>
          <w:bCs/>
          <w:sz w:val="21"/>
        </w:rPr>
        <w:t>(i) Proof of “Overall Design Department” (Necessity &amp; Sufficiency)</w:t>
      </w:r>
      <w:r>
        <w:rPr>
          <w:rFonts w:ascii="Times New Roman" w:hAnsi="Times New Roman"/>
          <w:sz w:val="21"/>
        </w:rPr>
        <w:t>:</w:t>
      </w:r>
      <w:r>
        <w:rPr>
          <w:rFonts w:ascii="Times New Roman" w:hAnsi="Times New Roman"/>
          <w:sz w:val="21"/>
        </w:rPr>
        <w:br/>
        <w:t xml:space="preserve">In a Non-IID phase space, without a unified Prior Partition Operator </w:t>
      </w:r>
      <m:oMath>
        <m:r>
          <m:rPr>
            <m:sty m:val="b"/>
          </m:rPr>
          <w:rPr>
            <w:rFonts w:ascii="Cambria Math" w:hAnsi="Cambria Math"/>
          </w:rPr>
          <m:t>Π</m:t>
        </m:r>
      </m:oMath>
      <w:r>
        <w:rPr>
          <w:rFonts w:ascii="Times New Roman" w:hAnsi="Times New Roman"/>
          <w:sz w:val="21"/>
        </w:rPr>
        <w:t xml:space="preserve"> and centralized quota/manifold orchestration, uncoordinated departmental optimization generates vector cancellation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∥&gt;</m:t>
        </m:r>
        <m:r>
          <w:rPr>
            <w:rFonts w:ascii="Cambria Math" w:hAnsi="Cambria Math"/>
          </w:rPr>
          <m:t>0</m:t>
        </m:r>
      </m:oMath>
      <w:r>
        <w:rPr>
          <w:rFonts w:ascii="Times New Roman" w:hAnsi="Times New Roman"/>
          <w:sz w:val="21"/>
        </w:rPr>
        <w:t xml:space="preserve">, trapping the system in non-cooperative Nash equilibria. Thus, </w:t>
      </w:r>
      <w:r>
        <w:rPr>
          <w:rFonts w:ascii="Times New Roman" w:hAnsi="Times New Roman"/>
          <w:b/>
          <w:bCs/>
          <w:sz w:val="21"/>
        </w:rPr>
        <w:t xml:space="preserve">the Overall Design Department is a mathematically necessary condition for eliminating dissipative heat, and its combination with rigid manifold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rPr>
          <w:rFonts w:ascii="Times New Roman" w:hAnsi="Times New Roman"/>
          <w:b/>
          <w:bCs/>
          <w:sz w:val="21"/>
        </w:rPr>
        <w:t xml:space="preserve"> constitutes a sufficient condition for multi-agent synergy.</w:t>
      </w:r>
    </w:p>
    <w:p w14:paraId="7355047D" w14:textId="77777777" w:rsidR="00DA2681" w:rsidRDefault="00000000">
      <w:pPr>
        <w:pStyle w:val="aa"/>
        <w:spacing w:after="80" w:line="276" w:lineRule="auto"/>
      </w:pPr>
      <w:r>
        <w:rPr>
          <w:rFonts w:ascii="Times New Roman" w:hAnsi="Times New Roman"/>
          <w:b/>
          <w:bCs/>
          <w:sz w:val="21"/>
        </w:rPr>
        <w:t>(ii) Proof of “Hall of Workshop for Decision Support (HWDS)” (Computability)</w:t>
      </w:r>
      <w:r>
        <w:rPr>
          <w:rFonts w:ascii="Times New Roman" w:hAnsi="Times New Roman"/>
          <w:sz w:val="21"/>
        </w:rPr>
        <w:t>:</w:t>
      </w:r>
      <w:r>
        <w:rPr>
          <w:rFonts w:ascii="Times New Roman" w:hAnsi="Times New Roman"/>
          <w:sz w:val="21"/>
        </w:rPr>
        <w:br/>
        <w:t xml:space="preserve">The 5D Double-Helix prunes the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sz w:val="21"/>
        </w:rPr>
        <w:t xml:space="preserve"> search space to polynomial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Times New Roman" w:hAnsi="Times New Roman"/>
          <w:sz w:val="21"/>
        </w:rPr>
        <w:t xml:space="preserve"> (under bounded treewidth </w:t>
      </w:r>
      <m:oMath>
        <m:r>
          <w:rPr>
            <w:rFonts w:ascii="Cambria Math" w:hAnsi="Cambria Math"/>
          </w:rPr>
          <m:t>tw</m:t>
        </m:r>
        <m:r>
          <m:rPr>
            <m:sty m:val="p"/>
          </m:rPr>
          <w:rPr>
            <w:rFonts w:ascii="Cambria Math" w:hAnsi="Cambria Math"/>
          </w:rPr>
          <m:t>=</m:t>
        </m:r>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Times New Roman" w:hAnsi="Times New Roman"/>
          <w:sz w:val="21"/>
        </w:rPr>
        <w:t xml:space="preserve">) via operator </w:t>
      </w:r>
      <m:oMath>
        <m:r>
          <m:rPr>
            <m:sty m:val="b"/>
          </m:rPr>
          <w:rPr>
            <w:rFonts w:ascii="Cambria Math" w:hAnsi="Cambria Math"/>
          </w:rPr>
          <m:t>Π</m:t>
        </m:r>
      </m:oMath>
      <w:r>
        <w:rPr>
          <w:rFonts w:ascii="Times New Roman" w:hAnsi="Times New Roman"/>
          <w:sz w:val="21"/>
        </w:rPr>
        <w:t xml:space="preserve"> and normal stripping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rPr>
          <w:rFonts w:ascii="Times New Roman" w:hAnsi="Times New Roman"/>
          <w:sz w:val="21"/>
        </w:rPr>
        <w:t xml:space="preserve">. Under spectral condition </w:t>
      </w:r>
      <m:oMath>
        <m:r>
          <w:rPr>
            <w:rFonts w:ascii="Cambria Math" w:hAnsi="Cambria Math"/>
          </w:rPr>
          <m:t>ρ</m:t>
        </m:r>
        <m:r>
          <m:rPr>
            <m:sty m:val="p"/>
          </m:rPr>
          <w:rPr>
            <w:rFonts w:ascii="Cambria Math" w:hAnsi="Cambria Math"/>
          </w:rPr>
          <m:t>(</m:t>
        </m:r>
        <m:r>
          <m:rPr>
            <m:sty m:val="bi"/>
          </m:rPr>
          <w:rPr>
            <w:rFonts w:ascii="Cambria Math" w:hAnsi="Cambria Math"/>
          </w:rPr>
          <m:t>A</m:t>
        </m:r>
        <m:r>
          <m:rPr>
            <m:sty m:val="p"/>
          </m:rPr>
          <w:rPr>
            <w:rFonts w:ascii="Cambria Math" w:hAnsi="Cambria Math"/>
          </w:rPr>
          <m:t>)&lt;</m:t>
        </m:r>
        <m:r>
          <w:rPr>
            <w:rFonts w:ascii="Cambria Math" w:hAnsi="Cambria Math"/>
          </w:rPr>
          <m:t>1</m:t>
        </m:r>
      </m:oMath>
      <w:r>
        <w:rPr>
          <w:rFonts w:ascii="Times New Roman" w:hAnsi="Times New Roman"/>
          <w:sz w:val="21"/>
        </w:rPr>
        <w:t xml:space="preserve">, Banach Contraction Mapping proves unique convergence to </w:t>
      </w:r>
      <m:oMath>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sup>
        </m:sSubSup>
      </m:oMath>
      <w:r>
        <w:rPr>
          <w:rFonts w:ascii="Times New Roman" w:hAnsi="Times New Roman"/>
          <w:sz w:val="21"/>
        </w:rPr>
        <w:t xml:space="preserve">. </w:t>
      </w:r>
      <w:r>
        <w:rPr>
          <w:rFonts w:ascii="Times New Roman" w:hAnsi="Times New Roman"/>
          <w:b/>
          <w:bCs/>
          <w:sz w:val="21"/>
        </w:rPr>
        <w:t>This provides the explicit mathematical mechanism by which HWDS conquers Wolfram computational irreducibility, establishing a sufficient condition for universal computability.</w:t>
      </w:r>
    </w:p>
    <w:p w14:paraId="1F9A1816" w14:textId="77777777" w:rsidR="00DA2681" w:rsidRDefault="00000000">
      <w:pPr>
        <w:pStyle w:val="aa"/>
        <w:spacing w:after="80" w:line="276" w:lineRule="auto"/>
      </w:pPr>
      <w:r>
        <w:rPr>
          <w:rFonts w:ascii="Times New Roman" w:hAnsi="Times New Roman"/>
          <w:b/>
          <w:bCs/>
          <w:sz w:val="21"/>
        </w:rPr>
        <w:t>(iii) Proof of “Human-Machine Integration with Human-in-the-Lead” (Necessity &amp; Sufficiency)</w:t>
      </w:r>
      <w:r>
        <w:rPr>
          <w:rFonts w:ascii="Times New Roman" w:hAnsi="Times New Roman"/>
          <w:sz w:val="21"/>
        </w:rPr>
        <w:t>:</w:t>
      </w:r>
      <w:r>
        <w:rPr>
          <w:rFonts w:ascii="Times New Roman" w:hAnsi="Times New Roman"/>
          <w:sz w:val="21"/>
        </w:rPr>
        <w:br/>
        <w:t xml:space="preserve">Pure silicon algorithms </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w:r>
        <w:rPr>
          <w:rFonts w:ascii="Times New Roman" w:hAnsi="Times New Roman"/>
          <w:sz w:val="21"/>
        </w:rPr>
        <w:t xml:space="preserve"> operate within fixed axiom set </w:t>
      </w:r>
      <m:oMath>
        <m:sSub>
          <m:sSubPr>
            <m:ctrlPr>
              <w:rPr>
                <w:rFonts w:ascii="Cambria Math" w:hAnsi="Cambria Math"/>
              </w:rPr>
            </m:ctrlPr>
          </m:sSubPr>
          <m:e>
            <m:r>
              <m:rPr>
                <m:sty m:val="b"/>
              </m:rPr>
              <w:rPr>
                <w:rFonts w:ascii="Cambria Math" w:hAnsi="Cambria Math"/>
              </w:rPr>
              <m:t>Π</m:t>
            </m:r>
          </m:e>
          <m:sub>
            <m:r>
              <w:rPr>
                <w:rFonts w:ascii="Cambria Math" w:hAnsi="Cambria Math"/>
              </w:rPr>
              <m:t>k</m:t>
            </m:r>
          </m:sub>
        </m:sSub>
      </m:oMath>
      <w:r>
        <w:rPr>
          <w:rFonts w:ascii="Times New Roman" w:hAnsi="Times New Roman"/>
          <w:sz w:val="21"/>
        </w:rPr>
        <w:t xml:space="preserve">. By the Non-Self-Bootstrapping Theorem of formal systems, algorithms cannot rewrite their own foundational axioms. When residual </w:t>
      </w:r>
      <m:oMath>
        <m:r>
          <m:rPr>
            <m:sty m:val="b"/>
          </m:rPr>
          <w:rPr>
            <w:rFonts w:ascii="Cambria Math" w:hAnsi="Cambria Math"/>
          </w:rPr>
          <m:t>Δ</m:t>
        </m:r>
        <m:r>
          <m:rPr>
            <m:sty m:val="p"/>
          </m:rPr>
          <w:rPr>
            <w:rFonts w:ascii="Cambria Math" w:hAnsi="Cambria Math"/>
          </w:rPr>
          <m:t>&gt;</m:t>
        </m:r>
        <m:sSub>
          <m:sSubPr>
            <m:ctrlPr>
              <w:rPr>
                <w:rFonts w:ascii="Cambria Math" w:hAnsi="Cambria Math"/>
              </w:rPr>
            </m:ctrlPr>
          </m:sSubPr>
          <m:e>
            <m:r>
              <w:rPr>
                <w:rFonts w:ascii="Cambria Math" w:hAnsi="Cambria Math"/>
              </w:rPr>
              <m:t>θ</m:t>
            </m:r>
          </m:e>
          <m:sub>
            <m:r>
              <m:rPr>
                <m:sty m:val="p"/>
              </m:rPr>
              <w:rPr>
                <w:rFonts w:ascii="Cambria Math" w:hAnsi="Cambria Math"/>
              </w:rPr>
              <m:t>trigger</m:t>
            </m:r>
          </m:sub>
        </m:sSub>
      </m:oMath>
      <w:r>
        <w:rPr>
          <w:rFonts w:ascii="Times New Roman" w:hAnsi="Times New Roman"/>
          <w:sz w:val="21"/>
        </w:rPr>
        <w:t xml:space="preserve">, human second-order meta-operators </w:t>
      </w:r>
      <m:oMath>
        <m:sSub>
          <m:sSubPr>
            <m:ctrlPr>
              <w:rPr>
                <w:rFonts w:ascii="Cambria Math" w:hAnsi="Cambria Math"/>
              </w:rPr>
            </m:ctrlPr>
          </m:sSubPr>
          <m:e>
            <m:r>
              <m:rPr>
                <m:sty m:val="b"/>
              </m:rPr>
              <w:rPr>
                <w:rFonts w:ascii="Cambria Math" w:hAnsi="Cambria Math"/>
              </w:rPr>
              <m:t>Φ</m:t>
            </m:r>
          </m:e>
          <m:sub>
            <m:r>
              <m:rPr>
                <m:sty m:val="p"/>
              </m:rPr>
              <w:rPr>
                <w:rFonts w:ascii="Cambria Math" w:hAnsi="Cambria Math"/>
              </w:rPr>
              <m:t>Human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rPr>
          <w:rFonts w:ascii="Times New Roman" w:hAnsi="Times New Roman"/>
          <w:sz w:val="21"/>
        </w:rPr>
        <w:t xml:space="preserve"> rewrite the axiomatic base. The global work operator is decomposed as </w:t>
      </w:r>
      <m:oMath>
        <m:r>
          <m:rPr>
            <m:nor/>
          </m:rPr>
          <m:t>Work Operator</m:t>
        </m:r>
        <m:r>
          <m:rPr>
            <m:sty m:val="p"/>
          </m:rPr>
          <w:rPr>
            <w:rFonts w:ascii="Cambria Math" w:hAnsi="Cambria Math"/>
          </w:rPr>
          <m:t>=</m:t>
        </m:r>
        <m:sSub>
          <m:sSubPr>
            <m:ctrlPr>
              <w:rPr>
                <w:rFonts w:ascii="Cambria Math" w:hAnsi="Cambria Math"/>
              </w:rPr>
            </m:ctrlPr>
          </m:sSubPr>
          <m:e>
            <m:r>
              <m:rPr>
                <m:sty m:val="b"/>
              </m:rPr>
              <w:rPr>
                <w:rFonts w:ascii="Cambria Math" w:hAnsi="Cambria Math"/>
              </w:rPr>
              <m:t>Φ</m:t>
            </m:r>
          </m:e>
          <m:sub>
            <m:r>
              <m:rPr>
                <m:sty m:val="p"/>
              </m:rPr>
              <w:rPr>
                <w:rFonts w:ascii="Cambria Math" w:hAnsi="Cambria Math"/>
              </w: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w:r>
        <w:rPr>
          <w:rFonts w:ascii="Times New Roman" w:hAnsi="Times New Roman"/>
          <w:sz w:val="21"/>
        </w:rPr>
        <w:t xml:space="preserve">. </w:t>
      </w:r>
      <w:r>
        <w:rPr>
          <w:rFonts w:ascii="Times New Roman" w:hAnsi="Times New Roman"/>
          <w:b/>
          <w:bCs/>
          <w:sz w:val="21"/>
        </w:rPr>
        <w:t xml:space="preserve">Human introspection </w:t>
      </w:r>
      <m:oMath>
        <m:sSub>
          <m:sSubPr>
            <m:ctrlPr>
              <w:rPr>
                <w:rFonts w:ascii="Cambria Math" w:hAnsi="Cambria Math"/>
              </w:rPr>
            </m:ctrlPr>
          </m:sSubPr>
          <m:e>
            <m:r>
              <m:rPr>
                <m:sty m:val="b"/>
              </m:rPr>
              <w:rPr>
                <w:rFonts w:ascii="Cambria Math" w:hAnsi="Cambria Math"/>
              </w:rPr>
              <m:t>Φ</m:t>
            </m:r>
          </m:e>
          <m:sub>
            <m:r>
              <m:rPr>
                <m:sty m:val="p"/>
              </m:rPr>
              <w:rPr>
                <w:rFonts w:ascii="Cambria Math" w:hAnsi="Cambria Math"/>
              </w:rPr>
              <m:t>Human</m:t>
            </m:r>
          </m:sub>
        </m:sSub>
      </m:oMath>
      <w:r>
        <w:rPr>
          <w:rFonts w:ascii="Times New Roman" w:hAnsi="Times New Roman"/>
          <w:b/>
          <w:bCs/>
          <w:sz w:val="21"/>
        </w:rPr>
        <w:t xml:space="preserve"> is necessary to break formal system </w:t>
      </w:r>
      <w:r>
        <w:rPr>
          <w:rFonts w:ascii="Times New Roman" w:hAnsi="Times New Roman"/>
          <w:b/>
          <w:bCs/>
          <w:sz w:val="21"/>
        </w:rPr>
        <w:lastRenderedPageBreak/>
        <w:t xml:space="preserve">lock-in, and the tensor product </w:t>
      </w:r>
      <m:oMath>
        <m:sSub>
          <m:sSubPr>
            <m:ctrlPr>
              <w:rPr>
                <w:rFonts w:ascii="Cambria Math" w:hAnsi="Cambria Math"/>
              </w:rPr>
            </m:ctrlPr>
          </m:sSubPr>
          <m:e>
            <m:r>
              <m:rPr>
                <m:sty m:val="b"/>
              </m:rPr>
              <w:rPr>
                <w:rFonts w:ascii="Cambria Math" w:hAnsi="Cambria Math"/>
              </w:rPr>
              <m:t>Φ</m:t>
            </m:r>
          </m:e>
          <m:sub>
            <m:r>
              <m:rPr>
                <m:sty m:val="p"/>
              </m:rPr>
              <w:rPr>
                <w:rFonts w:ascii="Cambria Math" w:hAnsi="Cambria Math"/>
              </w: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w:r>
        <w:rPr>
          <w:rFonts w:ascii="Times New Roman" w:hAnsi="Times New Roman"/>
          <w:b/>
          <w:bCs/>
          <w:sz w:val="21"/>
        </w:rPr>
        <w:t xml:space="preserve"> is sufficient for intergenerational evolution.</w:t>
      </w:r>
    </w:p>
    <w:p w14:paraId="759AD463" w14:textId="77777777" w:rsidR="00DA2681" w:rsidRDefault="00000000">
      <w:pPr>
        <w:spacing w:after="80" w:line="276" w:lineRule="auto"/>
      </w:pPr>
      <w:r>
        <w:rPr>
          <w:rFonts w:ascii="Times New Roman" w:hAnsi="Times New Roman"/>
          <w:sz w:val="21"/>
        </w:rPr>
        <w:pict w14:anchorId="771E118D">
          <v:rect id="_x0000_i1031" style="width:0;height:1.5pt" o:hralign="center" o:hrstd="t" o:hr="t"/>
        </w:pict>
      </w:r>
    </w:p>
    <w:p w14:paraId="4FD2D658" w14:textId="77777777" w:rsidR="00DA2681" w:rsidRDefault="00000000">
      <w:pPr>
        <w:pStyle w:val="2"/>
        <w:spacing w:before="240"/>
      </w:pPr>
      <w:bookmarkStart w:id="16" w:name="Xf4a9a8abd2fcd63a5f7527f4cbf592fcfa2b659"/>
      <w:bookmarkEnd w:id="11"/>
      <w:bookmarkEnd w:id="15"/>
      <w:r>
        <w:rPr>
          <w:rFonts w:ascii="Times New Roman" w:hAnsi="Times New Roman"/>
          <w:b/>
          <w:color w:val="222222"/>
          <w:sz w:val="23"/>
        </w:rPr>
        <w:t>5. Enterprise Field Empirical Validation: Universal Computability in a $100B Network</w:t>
      </w:r>
    </w:p>
    <w:p w14:paraId="6675DBE3" w14:textId="77777777" w:rsidR="00DA2681" w:rsidRDefault="00000000">
      <w:pPr>
        <w:pStyle w:val="FirstParagraph"/>
        <w:spacing w:after="80" w:line="276" w:lineRule="auto"/>
      </w:pPr>
      <w:r>
        <w:rPr>
          <w:rFonts w:ascii="Times New Roman" w:hAnsi="Times New Roman"/>
          <w:sz w:val="21"/>
        </w:rPr>
        <w:t>We validate our framework across a 10-year longitudinal field deployment (2015–2024; auditing 2014–2024 fiscal years) across Lenovo Group’s global manufacturing network (including the WEF Lighthouse Factory in Hefei).</w:t>
      </w:r>
    </w:p>
    <w:p w14:paraId="52817F36" w14:textId="77777777" w:rsidR="00DA2681" w:rsidRDefault="00000000">
      <w:pPr>
        <w:pStyle w:val="3"/>
        <w:spacing w:before="320" w:after="120"/>
      </w:pPr>
      <w:bookmarkStart w:id="17" w:name="Xdc1af6dc33ecd5b358c371fb5f0512a00d1973f"/>
      <w:r>
        <w:rPr>
          <w:rFonts w:ascii="Times New Roman" w:hAnsi="Times New Roman"/>
          <w:b/>
          <w:color w:val="111111"/>
          <w:sz w:val="26"/>
        </w:rPr>
        <w:t>5.1 Three-Tier Audit Architecture &amp; Core Physical Work Metrics</w:t>
      </w:r>
    </w:p>
    <w:p w14:paraId="4CFA1C19" w14:textId="77777777" w:rsidR="00DA2681" w:rsidRDefault="00000000">
      <w:pPr>
        <w:pStyle w:val="FirstParagraph"/>
        <w:spacing w:after="80" w:line="276" w:lineRule="auto"/>
      </w:pPr>
      <w:r>
        <w:rPr>
          <w:rFonts w:ascii="Times New Roman" w:hAnsi="Times New Roman"/>
          <w:sz w:val="21"/>
        </w:rPr>
        <w:t xml:space="preserve">To ensure objective rigor, empirical data was gathered via a three-tier architecture: 1. </w:t>
      </w:r>
      <w:r>
        <w:rPr>
          <w:rFonts w:ascii="Times New Roman" w:hAnsi="Times New Roman"/>
          <w:b/>
          <w:bCs/>
          <w:sz w:val="21"/>
        </w:rPr>
        <w:t>Group Financial Data</w:t>
      </w:r>
      <w:r>
        <w:rPr>
          <w:rFonts w:ascii="Times New Roman" w:hAnsi="Times New Roman"/>
          <w:sz w:val="21"/>
        </w:rPr>
        <w:t xml:space="preserve">: PwC-audited Annual Financial Reports (NOPAT, NWC, ROIC); 2. </w:t>
      </w:r>
      <w:r>
        <w:rPr>
          <w:rFonts w:ascii="Times New Roman" w:hAnsi="Times New Roman"/>
          <w:b/>
          <w:bCs/>
          <w:sz w:val="21"/>
        </w:rPr>
        <w:t>Factory Transaction Logs</w:t>
      </w:r>
      <w:r>
        <w:rPr>
          <w:rFonts w:ascii="Times New Roman" w:hAnsi="Times New Roman"/>
          <w:sz w:val="21"/>
        </w:rPr>
        <w:t xml:space="preserve">: WEF &amp; McKinsey independent audit logs and MES/ERP transaction data; 3. </w:t>
      </w:r>
      <w:r>
        <w:rPr>
          <w:rFonts w:ascii="Times New Roman" w:hAnsi="Times New Roman"/>
          <w:b/>
          <w:bCs/>
          <w:sz w:val="21"/>
        </w:rPr>
        <w:t>Industry Benchmarks</w:t>
      </w:r>
      <w:r>
        <w:rPr>
          <w:rFonts w:ascii="Times New Roman" w:hAnsi="Times New Roman"/>
          <w:sz w:val="21"/>
        </w:rPr>
        <w:t>: Gartner Supply Chain Top 25 and IDC Industry Reports.</w:t>
      </w:r>
    </w:p>
    <w:p w14:paraId="3214D0FC" w14:textId="77777777" w:rsidR="00DA2681" w:rsidRDefault="00000000">
      <w:pPr>
        <w:pStyle w:val="a0"/>
        <w:spacing w:after="80" w:line="276" w:lineRule="auto"/>
      </w:pPr>
      <w:r>
        <w:rPr>
          <w:rFonts w:ascii="Times New Roman" w:hAnsi="Times New Roman"/>
          <w:b/>
          <w:bCs/>
          <w:sz w:val="21"/>
        </w:rPr>
        <w:t>Core Physical Work Metrics</w:t>
      </w:r>
      <w:r>
        <w:rPr>
          <w:rFonts w:ascii="Times New Roman" w:hAnsi="Times New Roman"/>
          <w:sz w:val="21"/>
        </w:rPr>
        <w:t xml:space="preserve">: * </w:t>
      </w:r>
      <w:r>
        <w:rPr>
          <w:rFonts w:ascii="Times New Roman" w:hAnsi="Times New Roman"/>
          <w:b/>
          <w:bCs/>
          <w:sz w:val="21"/>
        </w:rPr>
        <w:t>Delivery Response Rate</w:t>
      </w:r>
      <w:r>
        <w:rPr>
          <w:rFonts w:ascii="Times New Roman" w:hAnsi="Times New Roman"/>
          <w:sz w:val="21"/>
        </w:rPr>
        <w:t xml:space="preserve">: Measures observation domain expansion; * </w:t>
      </w:r>
      <w:r>
        <w:rPr>
          <w:rFonts w:ascii="Times New Roman" w:hAnsi="Times New Roman"/>
          <w:b/>
          <w:bCs/>
          <w:sz w:val="21"/>
        </w:rPr>
        <w:t>On-Time Delivery (OTD)</w:t>
      </w:r>
      <w:r>
        <w:rPr>
          <w:rFonts w:ascii="Times New Roman" w:hAnsi="Times New Roman"/>
          <w:sz w:val="21"/>
        </w:rPr>
        <w:t xml:space="preserve">: Measures physical manifold control precision; * </w:t>
      </w:r>
      <w:r>
        <w:rPr>
          <w:rFonts w:ascii="Times New Roman" w:hAnsi="Times New Roman"/>
          <w:b/>
          <w:bCs/>
          <w:sz w:val="21"/>
        </w:rPr>
        <w:t>Line Stoppage Frequency</w:t>
      </w:r>
      <w:r>
        <w:rPr>
          <w:rFonts w:ascii="Times New Roman" w:hAnsi="Times New Roman"/>
          <w:sz w:val="21"/>
        </w:rPr>
        <w:t xml:space="preserve">: Measures vector cancellation and internal friction heat; * </w:t>
      </w:r>
      <w:r>
        <w:rPr>
          <w:rFonts w:ascii="Times New Roman" w:hAnsi="Times New Roman"/>
          <w:b/>
          <w:bCs/>
          <w:sz w:val="21"/>
        </w:rPr>
        <w:t>Inventory Turnover &amp; NWC Release</w:t>
      </w:r>
      <w:r>
        <w:rPr>
          <w:rFonts w:ascii="Times New Roman" w:hAnsi="Times New Roman"/>
          <w:sz w:val="21"/>
        </w:rPr>
        <w:t>: Measures effective anti-entropy work efficiency.</w:t>
      </w:r>
    </w:p>
    <w:p w14:paraId="63A22E95" w14:textId="77777777" w:rsidR="00DA2681" w:rsidRDefault="00000000">
      <w:pPr>
        <w:pStyle w:val="3"/>
        <w:spacing w:before="320" w:after="120"/>
      </w:pPr>
      <w:bookmarkStart w:id="18" w:name="empirical-results"/>
      <w:bookmarkEnd w:id="17"/>
      <w:r>
        <w:rPr>
          <w:rFonts w:ascii="Times New Roman" w:hAnsi="Times New Roman"/>
          <w:b/>
          <w:color w:val="111111"/>
          <w:sz w:val="26"/>
        </w:rPr>
        <w:t>5.2 Empirical Results</w:t>
      </w:r>
    </w:p>
    <w:p w14:paraId="5FE1FE91" w14:textId="77777777" w:rsidR="00DA2681" w:rsidRDefault="00000000">
      <w:pPr>
        <w:pStyle w:val="Compact"/>
        <w:numPr>
          <w:ilvl w:val="0"/>
          <w:numId w:val="5"/>
        </w:numPr>
        <w:spacing w:after="80" w:line="276" w:lineRule="auto"/>
      </w:pPr>
      <w:r>
        <w:rPr>
          <w:rFonts w:ascii="Times New Roman" w:hAnsi="Times New Roman"/>
          <w:b/>
          <w:bCs/>
          <w:sz w:val="21"/>
        </w:rPr>
        <w:t>Delivery Response Rate</w:t>
      </w:r>
      <w:r>
        <w:rPr>
          <w:rFonts w:ascii="Times New Roman" w:hAnsi="Times New Roman"/>
          <w:sz w:val="21"/>
        </w:rPr>
        <w:t>: Surged from 54% to a sustained 98%;</w:t>
      </w:r>
    </w:p>
    <w:p w14:paraId="7BEFE4DA" w14:textId="77777777" w:rsidR="00DA2681" w:rsidRDefault="00000000">
      <w:pPr>
        <w:pStyle w:val="Compact"/>
        <w:numPr>
          <w:ilvl w:val="0"/>
          <w:numId w:val="5"/>
        </w:numPr>
        <w:spacing w:after="80" w:line="276" w:lineRule="auto"/>
      </w:pPr>
      <w:r>
        <w:rPr>
          <w:rFonts w:ascii="Times New Roman" w:hAnsi="Times New Roman"/>
          <w:b/>
          <w:bCs/>
          <w:sz w:val="21"/>
        </w:rPr>
        <w:t>OTD Accuracy</w:t>
      </w:r>
      <w:r>
        <w:rPr>
          <w:rFonts w:ascii="Times New Roman" w:hAnsi="Times New Roman"/>
          <w:sz w:val="21"/>
        </w:rPr>
        <w:t>: Improved by +32% to reach 98.4%;</w:t>
      </w:r>
    </w:p>
    <w:p w14:paraId="3D2B79C7" w14:textId="77777777" w:rsidR="00DA2681" w:rsidRDefault="00000000">
      <w:pPr>
        <w:pStyle w:val="Compact"/>
        <w:numPr>
          <w:ilvl w:val="0"/>
          <w:numId w:val="5"/>
        </w:numPr>
        <w:spacing w:after="80" w:line="276" w:lineRule="auto"/>
      </w:pPr>
      <w:r>
        <w:rPr>
          <w:rFonts w:ascii="Times New Roman" w:hAnsi="Times New Roman"/>
          <w:b/>
          <w:bCs/>
          <w:sz w:val="21"/>
        </w:rPr>
        <w:t>Inventory Turnover</w:t>
      </w:r>
      <w:r>
        <w:rPr>
          <w:rFonts w:ascii="Times New Roman" w:hAnsi="Times New Roman"/>
          <w:sz w:val="21"/>
        </w:rPr>
        <w:t>: Increased 1.9</w:t>
      </w:r>
      <m:oMath>
        <m:r>
          <m:rPr>
            <m:sty m:val="p"/>
          </m:rPr>
          <w:rPr>
            <w:rFonts w:ascii="Cambria Math" w:hAnsi="Cambria Math"/>
          </w:rPr>
          <m:t>×</m:t>
        </m:r>
      </m:oMath>
      <w:r>
        <w:rPr>
          <w:rFonts w:ascii="Times New Roman" w:hAnsi="Times New Roman"/>
          <w:sz w:val="21"/>
        </w:rPr>
        <w:t xml:space="preserve"> to 24.6 turns/year, releasing RMB 3.5+ billion in NWC;</w:t>
      </w:r>
    </w:p>
    <w:p w14:paraId="47EBA76D" w14:textId="77777777" w:rsidR="00DA2681" w:rsidRDefault="00000000">
      <w:pPr>
        <w:pStyle w:val="Compact"/>
        <w:numPr>
          <w:ilvl w:val="0"/>
          <w:numId w:val="5"/>
        </w:numPr>
        <w:spacing w:after="80" w:line="276" w:lineRule="auto"/>
      </w:pPr>
      <w:r>
        <w:rPr>
          <w:rFonts w:ascii="Times New Roman" w:hAnsi="Times New Roman"/>
          <w:b/>
          <w:bCs/>
          <w:sz w:val="21"/>
        </w:rPr>
        <w:t>Line Stoppage Frequency</w:t>
      </w:r>
      <w:r>
        <w:rPr>
          <w:rFonts w:ascii="Times New Roman" w:hAnsi="Times New Roman"/>
          <w:sz w:val="21"/>
        </w:rPr>
        <w:t>: Plummeted from &gt;22 instances/month to &lt;2 instances/month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ascii="Times New Roman" w:hAnsi="Times New Roman"/>
          <w:sz w:val="21"/>
        </w:rPr>
        <w:t>).</w:t>
      </w:r>
    </w:p>
    <w:p w14:paraId="3682DC29" w14:textId="77777777" w:rsidR="00DA2681" w:rsidRDefault="00000000">
      <w:pPr>
        <w:pStyle w:val="3"/>
        <w:spacing w:before="320" w:after="120"/>
      </w:pPr>
      <w:bookmarkStart w:id="19" w:name="ablation-study-panel-dataset-n120"/>
      <w:bookmarkEnd w:id="18"/>
      <w:r>
        <w:rPr>
          <w:rFonts w:ascii="Times New Roman" w:hAnsi="Times New Roman"/>
          <w:b/>
          <w:color w:val="111111"/>
          <w:sz w:val="26"/>
        </w:rPr>
        <w:t>5.3 Ablation Study (Panel Dataset, N=120)</w:t>
      </w:r>
    </w:p>
    <w:p w14:paraId="5544E962" w14:textId="77777777" w:rsidR="00DA2681" w:rsidRDefault="00000000">
      <w:pPr>
        <w:pStyle w:val="FirstParagraph"/>
        <w:spacing w:after="80" w:line="276" w:lineRule="auto"/>
      </w:pPr>
      <w:r>
        <w:rPr>
          <w:rFonts w:ascii="Times New Roman" w:hAnsi="Times New Roman"/>
          <w:b/>
          <w:bCs/>
          <w:sz w:val="21"/>
        </w:rPr>
        <w:t>Table 1: Governance Characteristics and Audited Performance Across Ablation Groups</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tblBorders>
        <w:tblLayout w:type="fixed"/>
        <w:tblLook w:val="0020" w:firstRow="1" w:lastRow="0" w:firstColumn="0" w:lastColumn="0" w:noHBand="0" w:noVBand="0"/>
      </w:tblPr>
      <w:tblGrid>
        <w:gridCol w:w="1372"/>
        <w:gridCol w:w="1372"/>
        <w:gridCol w:w="1372"/>
        <w:gridCol w:w="1371"/>
        <w:gridCol w:w="1371"/>
        <w:gridCol w:w="1371"/>
        <w:gridCol w:w="1371"/>
      </w:tblGrid>
      <w:tr w:rsidR="00DA2681" w14:paraId="5D44DC4C" w14:textId="77777777" w:rsidTr="00DA2681">
        <w:trPr>
          <w:cnfStyle w:val="100000000000" w:firstRow="1" w:lastRow="0" w:firstColumn="0" w:lastColumn="0" w:oddVBand="0" w:evenVBand="0" w:oddHBand="0" w:evenHBand="0" w:firstRowFirstColumn="0" w:firstRowLastColumn="0" w:lastRowFirstColumn="0" w:lastRowLastColumn="0"/>
          <w:tblHeader/>
          <w:jc w:val="center"/>
        </w:trPr>
        <w:tc>
          <w:tcPr>
            <w:tcW w:w="1131" w:type="dxa"/>
            <w:shd w:val="clear" w:color="auto" w:fill="EAECEF"/>
            <w:tcMar>
              <w:top w:w="100" w:type="dxa"/>
              <w:left w:w="120" w:type="dxa"/>
              <w:bottom w:w="100" w:type="dxa"/>
              <w:right w:w="120" w:type="dxa"/>
            </w:tcMar>
          </w:tcPr>
          <w:p w14:paraId="4FBA424C" w14:textId="77777777" w:rsidR="00DA2681" w:rsidRDefault="00000000">
            <w:pPr>
              <w:pStyle w:val="Compact"/>
            </w:pPr>
            <w:r>
              <w:rPr>
                <w:b/>
                <w:sz w:val="19"/>
              </w:rPr>
              <w:t>Experimental Group</w:t>
            </w:r>
          </w:p>
        </w:tc>
        <w:tc>
          <w:tcPr>
            <w:tcW w:w="1131" w:type="dxa"/>
            <w:shd w:val="clear" w:color="auto" w:fill="EAECEF"/>
            <w:tcMar>
              <w:top w:w="100" w:type="dxa"/>
              <w:left w:w="120" w:type="dxa"/>
              <w:bottom w:w="100" w:type="dxa"/>
              <w:right w:w="120" w:type="dxa"/>
            </w:tcMar>
          </w:tcPr>
          <w:p w14:paraId="378E3474" w14:textId="77777777" w:rsidR="00DA2681" w:rsidRDefault="00000000">
            <w:pPr>
              <w:pStyle w:val="Compact"/>
            </w:pPr>
            <w:r>
              <w:rPr>
                <w:b/>
                <w:sz w:val="19"/>
              </w:rPr>
              <w:t>Governance &amp; Architecture Characteristics</w:t>
            </w:r>
          </w:p>
        </w:tc>
        <w:tc>
          <w:tcPr>
            <w:tcW w:w="1131" w:type="dxa"/>
            <w:shd w:val="clear" w:color="auto" w:fill="EAECEF"/>
            <w:tcMar>
              <w:top w:w="100" w:type="dxa"/>
              <w:left w:w="120" w:type="dxa"/>
              <w:bottom w:w="100" w:type="dxa"/>
              <w:right w:w="120" w:type="dxa"/>
            </w:tcMar>
          </w:tcPr>
          <w:p w14:paraId="657F0D9F" w14:textId="77777777" w:rsidR="00DA2681" w:rsidRDefault="00000000">
            <w:pPr>
              <w:pStyle w:val="Compact"/>
            </w:pPr>
            <w:r>
              <w:rPr>
                <w:b/>
                <w:sz w:val="19"/>
              </w:rPr>
              <w:t>Control &amp; Write-Back Features</w:t>
            </w:r>
          </w:p>
        </w:tc>
        <w:tc>
          <w:tcPr>
            <w:tcW w:w="1131" w:type="dxa"/>
            <w:shd w:val="clear" w:color="auto" w:fill="EAECEF"/>
            <w:tcMar>
              <w:top w:w="100" w:type="dxa"/>
              <w:left w:w="120" w:type="dxa"/>
              <w:bottom w:w="100" w:type="dxa"/>
              <w:right w:w="120" w:type="dxa"/>
            </w:tcMar>
          </w:tcPr>
          <w:p w14:paraId="563A718A" w14:textId="77777777" w:rsidR="00DA2681" w:rsidRDefault="00000000">
            <w:pPr>
              <w:pStyle w:val="Compact"/>
            </w:pPr>
            <w:r>
              <w:rPr>
                <w:b/>
                <w:sz w:val="19"/>
              </w:rPr>
              <w:t>On-Time Delivery (OTD)</w:t>
            </w:r>
          </w:p>
        </w:tc>
        <w:tc>
          <w:tcPr>
            <w:tcW w:w="1131" w:type="dxa"/>
            <w:shd w:val="clear" w:color="auto" w:fill="EAECEF"/>
            <w:tcMar>
              <w:top w:w="100" w:type="dxa"/>
              <w:left w:w="120" w:type="dxa"/>
              <w:bottom w:w="100" w:type="dxa"/>
              <w:right w:w="120" w:type="dxa"/>
            </w:tcMar>
          </w:tcPr>
          <w:p w14:paraId="1B22A0BD" w14:textId="77777777" w:rsidR="00DA2681" w:rsidRDefault="00000000">
            <w:pPr>
              <w:pStyle w:val="Compact"/>
            </w:pPr>
            <w:r>
              <w:rPr>
                <w:b/>
                <w:sz w:val="19"/>
              </w:rPr>
              <w:t>Line Stoppage Frequency</w:t>
            </w:r>
          </w:p>
        </w:tc>
        <w:tc>
          <w:tcPr>
            <w:tcW w:w="1131" w:type="dxa"/>
            <w:shd w:val="clear" w:color="auto" w:fill="EAECEF"/>
            <w:tcMar>
              <w:top w:w="100" w:type="dxa"/>
              <w:left w:w="120" w:type="dxa"/>
              <w:bottom w:w="100" w:type="dxa"/>
              <w:right w:w="120" w:type="dxa"/>
            </w:tcMar>
          </w:tcPr>
          <w:p w14:paraId="1A7D31D4" w14:textId="77777777" w:rsidR="00DA2681" w:rsidRDefault="00000000">
            <w:pPr>
              <w:pStyle w:val="Compact"/>
            </w:pPr>
            <w:r>
              <w:rPr>
                <w:b/>
                <w:sz w:val="19"/>
              </w:rPr>
              <w:t>Audited Inventory Turnover</w:t>
            </w:r>
          </w:p>
        </w:tc>
        <w:tc>
          <w:tcPr>
            <w:tcW w:w="1131" w:type="dxa"/>
            <w:shd w:val="clear" w:color="auto" w:fill="EAECEF"/>
            <w:tcMar>
              <w:top w:w="100" w:type="dxa"/>
              <w:left w:w="120" w:type="dxa"/>
              <w:bottom w:w="100" w:type="dxa"/>
              <w:right w:w="120" w:type="dxa"/>
            </w:tcMar>
          </w:tcPr>
          <w:p w14:paraId="4FED4A36" w14:textId="77777777" w:rsidR="00DA2681" w:rsidRDefault="00000000">
            <w:pPr>
              <w:pStyle w:val="Compact"/>
            </w:pPr>
            <w:r>
              <w:rPr>
                <w:b/>
                <w:sz w:val="19"/>
              </w:rPr>
              <w:t>ROIC Relative Effect</w:t>
            </w:r>
          </w:p>
        </w:tc>
      </w:tr>
      <w:tr w:rsidR="00DA2681" w14:paraId="123D6527" w14:textId="77777777" w:rsidTr="00DA2681">
        <w:trPr>
          <w:jc w:val="center"/>
        </w:trPr>
        <w:tc>
          <w:tcPr>
            <w:tcW w:w="1131" w:type="dxa"/>
            <w:tcMar>
              <w:top w:w="100" w:type="dxa"/>
              <w:left w:w="120" w:type="dxa"/>
              <w:bottom w:w="100" w:type="dxa"/>
              <w:right w:w="120" w:type="dxa"/>
            </w:tcMar>
          </w:tcPr>
          <w:p w14:paraId="35C431EB" w14:textId="77777777" w:rsidR="00DA2681" w:rsidRDefault="00000000">
            <w:pPr>
              <w:pStyle w:val="Compact"/>
            </w:pPr>
            <w:r>
              <w:rPr>
                <w:b/>
                <w:bCs/>
                <w:sz w:val="19"/>
              </w:rPr>
              <w:t>Case A (Full Closed-Loop)</w:t>
            </w:r>
          </w:p>
        </w:tc>
        <w:tc>
          <w:tcPr>
            <w:tcW w:w="1131" w:type="dxa"/>
            <w:tcMar>
              <w:top w:w="100" w:type="dxa"/>
              <w:left w:w="120" w:type="dxa"/>
              <w:bottom w:w="100" w:type="dxa"/>
              <w:right w:w="120" w:type="dxa"/>
            </w:tcMar>
          </w:tcPr>
          <w:p w14:paraId="42BBC3D6" w14:textId="77777777" w:rsidR="00DA2681" w:rsidRDefault="00000000">
            <w:pPr>
              <w:pStyle w:val="Compact"/>
            </w:pPr>
            <w:r>
              <w:rPr>
                <w:sz w:val="19"/>
              </w:rPr>
              <w:t>5D Double-Helix, Human-Out-of-the-Loop decision execution</w:t>
            </w:r>
          </w:p>
        </w:tc>
        <w:tc>
          <w:tcPr>
            <w:tcW w:w="1131" w:type="dxa"/>
            <w:tcMar>
              <w:top w:w="100" w:type="dxa"/>
              <w:left w:w="120" w:type="dxa"/>
              <w:bottom w:w="100" w:type="dxa"/>
              <w:right w:w="120" w:type="dxa"/>
            </w:tcMar>
          </w:tcPr>
          <w:p w14:paraId="3854BCD0" w14:textId="77777777" w:rsidR="00DA2681" w:rsidRDefault="00000000">
            <w:pPr>
              <w:pStyle w:val="Compact"/>
            </w:pPr>
            <w:r>
              <w:rPr>
                <w:sz w:val="19"/>
              </w:rPr>
              <w:t xml:space="preserve">Automated write-back &amp; DAG topology </w:t>
            </w:r>
            <m:oMath>
              <m:r>
                <m:rPr>
                  <m:scr m:val="script"/>
                  <m:sty m:val="p"/>
                </m:rPr>
                <w:rPr>
                  <w:rFonts w:ascii="Cambria Math" w:hAnsi="Cambria Math"/>
                </w:rPr>
                <m:t>T</m:t>
              </m:r>
            </m:oMath>
            <w:r>
              <w:rPr>
                <w:sz w:val="19"/>
              </w:rP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rPr>
                <w:sz w:val="19"/>
              </w:rPr>
              <w:t xml:space="preserve"> write-back active</w:t>
            </w:r>
          </w:p>
        </w:tc>
        <w:tc>
          <w:tcPr>
            <w:tcW w:w="1131" w:type="dxa"/>
            <w:tcMar>
              <w:top w:w="100" w:type="dxa"/>
              <w:left w:w="120" w:type="dxa"/>
              <w:bottom w:w="100" w:type="dxa"/>
              <w:right w:w="120" w:type="dxa"/>
            </w:tcMar>
          </w:tcPr>
          <w:p w14:paraId="25DC49C3" w14:textId="77777777" w:rsidR="00DA2681" w:rsidRDefault="00000000">
            <w:pPr>
              <w:pStyle w:val="Compact"/>
            </w:pPr>
            <w:r>
              <w:rPr>
                <w:b/>
                <w:bCs/>
                <w:sz w:val="19"/>
              </w:rPr>
              <w:t>98.4%</w:t>
            </w:r>
          </w:p>
        </w:tc>
        <w:tc>
          <w:tcPr>
            <w:tcW w:w="1131" w:type="dxa"/>
            <w:tcMar>
              <w:top w:w="100" w:type="dxa"/>
              <w:left w:w="120" w:type="dxa"/>
              <w:bottom w:w="100" w:type="dxa"/>
              <w:right w:w="120" w:type="dxa"/>
            </w:tcMar>
          </w:tcPr>
          <w:p w14:paraId="0F067B49" w14:textId="77777777" w:rsidR="00DA2681" w:rsidRDefault="00000000">
            <w:pPr>
              <w:pStyle w:val="Compact"/>
            </w:pPr>
            <w:r>
              <w:rPr>
                <w:b/>
                <w:bCs/>
                <w:sz w:val="19"/>
              </w:rPr>
              <w:t>&lt; 2 / mo</w:t>
            </w:r>
          </w:p>
        </w:tc>
        <w:tc>
          <w:tcPr>
            <w:tcW w:w="1131" w:type="dxa"/>
            <w:tcMar>
              <w:top w:w="100" w:type="dxa"/>
              <w:left w:w="120" w:type="dxa"/>
              <w:bottom w:w="100" w:type="dxa"/>
              <w:right w:w="120" w:type="dxa"/>
            </w:tcMar>
          </w:tcPr>
          <w:p w14:paraId="06B450E7" w14:textId="77777777" w:rsidR="00DA2681" w:rsidRDefault="00000000">
            <w:pPr>
              <w:pStyle w:val="Compact"/>
            </w:pPr>
            <w:r>
              <w:rPr>
                <w:b/>
                <w:bCs/>
                <w:sz w:val="19"/>
              </w:rPr>
              <w:t>24.6 turns/yr</w:t>
            </w:r>
          </w:p>
        </w:tc>
        <w:tc>
          <w:tcPr>
            <w:tcW w:w="1131" w:type="dxa"/>
            <w:tcMar>
              <w:top w:w="100" w:type="dxa"/>
              <w:left w:w="120" w:type="dxa"/>
              <w:bottom w:w="100" w:type="dxa"/>
              <w:right w:w="120" w:type="dxa"/>
            </w:tcMar>
          </w:tcPr>
          <w:p w14:paraId="4E9055EE" w14:textId="77777777" w:rsidR="00DA2681" w:rsidRDefault="00000000">
            <w:pPr>
              <w:pStyle w:val="Compact"/>
            </w:pPr>
            <w:r>
              <w:rPr>
                <w:b/>
                <w:bCs/>
                <w:sz w:val="19"/>
              </w:rPr>
              <w:t>+4.2%</w:t>
            </w:r>
            <w:r>
              <w:rPr>
                <w:sz w:val="19"/>
              </w:rPr>
              <w:t>* (0.008)**</w:t>
            </w:r>
          </w:p>
        </w:tc>
      </w:tr>
      <w:tr w:rsidR="00DA2681" w14:paraId="0E2BA642" w14:textId="77777777" w:rsidTr="00DA2681">
        <w:trPr>
          <w:jc w:val="center"/>
        </w:trPr>
        <w:tc>
          <w:tcPr>
            <w:tcW w:w="1131" w:type="dxa"/>
            <w:tcMar>
              <w:top w:w="100" w:type="dxa"/>
              <w:left w:w="120" w:type="dxa"/>
              <w:bottom w:w="100" w:type="dxa"/>
              <w:right w:w="120" w:type="dxa"/>
            </w:tcMar>
          </w:tcPr>
          <w:p w14:paraId="585E4CE7" w14:textId="77777777" w:rsidR="00DA2681" w:rsidRDefault="00000000">
            <w:pPr>
              <w:pStyle w:val="Compact"/>
            </w:pPr>
            <w:r>
              <w:rPr>
                <w:b/>
                <w:bCs/>
                <w:sz w:val="19"/>
              </w:rPr>
              <w:lastRenderedPageBreak/>
              <w:t>Case B (Write-Back Ablated)</w:t>
            </w:r>
          </w:p>
        </w:tc>
        <w:tc>
          <w:tcPr>
            <w:tcW w:w="1131" w:type="dxa"/>
            <w:tcMar>
              <w:top w:w="100" w:type="dxa"/>
              <w:left w:w="120" w:type="dxa"/>
              <w:bottom w:w="100" w:type="dxa"/>
              <w:right w:w="120" w:type="dxa"/>
            </w:tcMar>
          </w:tcPr>
          <w:p w14:paraId="34B91B8D" w14:textId="77777777" w:rsidR="00DA2681" w:rsidRDefault="00000000">
            <w:pPr>
              <w:pStyle w:val="Compact"/>
            </w:pPr>
            <w:r>
              <w:rPr>
                <w:sz w:val="19"/>
              </w:rPr>
              <w:t>Shared 5D model, automated write-back severed</w:t>
            </w:r>
          </w:p>
        </w:tc>
        <w:tc>
          <w:tcPr>
            <w:tcW w:w="1131" w:type="dxa"/>
            <w:tcMar>
              <w:top w:w="100" w:type="dxa"/>
              <w:left w:w="120" w:type="dxa"/>
              <w:bottom w:w="100" w:type="dxa"/>
              <w:right w:w="120" w:type="dxa"/>
            </w:tcMar>
          </w:tcPr>
          <w:p w14:paraId="3C62BDB3" w14:textId="77777777" w:rsidR="00DA2681" w:rsidRDefault="00000000">
            <w:pPr>
              <w:pStyle w:val="Compact"/>
            </w:pPr>
            <w:r>
              <w:rPr>
                <w:sz w:val="19"/>
              </w:rPr>
              <w:t>Manual Excel intervention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r>
                <m:rPr>
                  <m:nor/>
                </m:rPr>
                <m:t>write-back</m:t>
              </m:r>
              <m:r>
                <m:rPr>
                  <m:sty m:val="p"/>
                </m:rPr>
                <w:rPr>
                  <w:rFonts w:ascii="Cambria Math" w:hAnsi="Cambria Math"/>
                </w:rPr>
                <m:t>→</m:t>
              </m:r>
              <m:r>
                <w:rPr>
                  <w:rFonts w:ascii="Cambria Math" w:hAnsi="Cambria Math"/>
                </w:rPr>
                <m:t>0</m:t>
              </m:r>
            </m:oMath>
            <w:r>
              <w:rPr>
                <w:sz w:val="19"/>
              </w:rPr>
              <w:t>)</w:t>
            </w:r>
          </w:p>
        </w:tc>
        <w:tc>
          <w:tcPr>
            <w:tcW w:w="1131" w:type="dxa"/>
            <w:tcMar>
              <w:top w:w="100" w:type="dxa"/>
              <w:left w:w="120" w:type="dxa"/>
              <w:bottom w:w="100" w:type="dxa"/>
              <w:right w:w="120" w:type="dxa"/>
            </w:tcMar>
          </w:tcPr>
          <w:p w14:paraId="33144ED3" w14:textId="77777777" w:rsidR="00DA2681" w:rsidRDefault="00000000">
            <w:pPr>
              <w:pStyle w:val="Compact"/>
            </w:pPr>
            <w:r>
              <w:rPr>
                <w:sz w:val="19"/>
              </w:rPr>
              <w:t>84.1%</w:t>
            </w:r>
          </w:p>
        </w:tc>
        <w:tc>
          <w:tcPr>
            <w:tcW w:w="1131" w:type="dxa"/>
            <w:tcMar>
              <w:top w:w="100" w:type="dxa"/>
              <w:left w:w="120" w:type="dxa"/>
              <w:bottom w:w="100" w:type="dxa"/>
              <w:right w:w="120" w:type="dxa"/>
            </w:tcMar>
          </w:tcPr>
          <w:p w14:paraId="2D20C37A" w14:textId="77777777" w:rsidR="00DA2681" w:rsidRDefault="00000000">
            <w:pPr>
              <w:pStyle w:val="Compact"/>
            </w:pPr>
            <w:r>
              <w:rPr>
                <w:sz w:val="19"/>
              </w:rPr>
              <w:t>&gt; 15 / mo</w:t>
            </w:r>
          </w:p>
        </w:tc>
        <w:tc>
          <w:tcPr>
            <w:tcW w:w="1131" w:type="dxa"/>
            <w:tcMar>
              <w:top w:w="100" w:type="dxa"/>
              <w:left w:w="120" w:type="dxa"/>
              <w:bottom w:w="100" w:type="dxa"/>
              <w:right w:w="120" w:type="dxa"/>
            </w:tcMar>
          </w:tcPr>
          <w:p w14:paraId="5CF7FC74" w14:textId="77777777" w:rsidR="00DA2681" w:rsidRDefault="00000000">
            <w:pPr>
              <w:pStyle w:val="Compact"/>
            </w:pPr>
            <w:r>
              <w:rPr>
                <w:sz w:val="19"/>
              </w:rPr>
              <w:t>14.2 turns/yr</w:t>
            </w:r>
          </w:p>
        </w:tc>
        <w:tc>
          <w:tcPr>
            <w:tcW w:w="1131" w:type="dxa"/>
            <w:tcMar>
              <w:top w:w="100" w:type="dxa"/>
              <w:left w:w="120" w:type="dxa"/>
              <w:bottom w:w="100" w:type="dxa"/>
              <w:right w:w="120" w:type="dxa"/>
            </w:tcMar>
          </w:tcPr>
          <w:p w14:paraId="309CE5E1" w14:textId="77777777" w:rsidR="00DA2681" w:rsidRDefault="00000000">
            <w:pPr>
              <w:pStyle w:val="Compact"/>
            </w:pPr>
            <w:r>
              <w:rPr>
                <w:sz w:val="19"/>
              </w:rPr>
              <w:t>-2.1%** (0.009)</w:t>
            </w:r>
          </w:p>
        </w:tc>
      </w:tr>
      <w:tr w:rsidR="00DA2681" w14:paraId="56C92E1A" w14:textId="77777777" w:rsidTr="00DA2681">
        <w:trPr>
          <w:jc w:val="center"/>
        </w:trPr>
        <w:tc>
          <w:tcPr>
            <w:tcW w:w="1131" w:type="dxa"/>
            <w:tcMar>
              <w:top w:w="100" w:type="dxa"/>
              <w:left w:w="120" w:type="dxa"/>
              <w:bottom w:w="100" w:type="dxa"/>
              <w:right w:w="120" w:type="dxa"/>
            </w:tcMar>
          </w:tcPr>
          <w:p w14:paraId="3B95EA53" w14:textId="77777777" w:rsidR="00DA2681" w:rsidRDefault="00000000">
            <w:pPr>
              <w:pStyle w:val="Compact"/>
            </w:pPr>
            <w:r>
              <w:rPr>
                <w:b/>
                <w:bCs/>
                <w:sz w:val="19"/>
              </w:rPr>
              <w:t>Case C (Traditional Control)</w:t>
            </w:r>
          </w:p>
        </w:tc>
        <w:tc>
          <w:tcPr>
            <w:tcW w:w="1131" w:type="dxa"/>
            <w:tcMar>
              <w:top w:w="100" w:type="dxa"/>
              <w:left w:w="120" w:type="dxa"/>
              <w:bottom w:w="100" w:type="dxa"/>
              <w:right w:w="120" w:type="dxa"/>
            </w:tcMar>
          </w:tcPr>
          <w:p w14:paraId="014B3C69" w14:textId="77777777" w:rsidR="00DA2681" w:rsidRDefault="00000000">
            <w:pPr>
              <w:pStyle w:val="Compact"/>
            </w:pPr>
            <w:r>
              <w:rPr>
                <w:sz w:val="19"/>
              </w:rPr>
              <w:t>Legacy S&amp;OP, functional departmental silos</w:t>
            </w:r>
          </w:p>
        </w:tc>
        <w:tc>
          <w:tcPr>
            <w:tcW w:w="1131" w:type="dxa"/>
            <w:tcMar>
              <w:top w:w="100" w:type="dxa"/>
              <w:left w:w="120" w:type="dxa"/>
              <w:bottom w:w="100" w:type="dxa"/>
              <w:right w:w="120" w:type="dxa"/>
            </w:tcMar>
          </w:tcPr>
          <w:p w14:paraId="3E593BD8" w14:textId="77777777" w:rsidR="00DA2681" w:rsidRDefault="00000000">
            <w:pPr>
              <w:pStyle w:val="Compact"/>
            </w:pPr>
            <w:r>
              <w:rPr>
                <w:sz w:val="19"/>
              </w:rPr>
              <w:t xml:space="preserve">Departmental optimization, Vector Cancellation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p>
        </w:tc>
        <w:tc>
          <w:tcPr>
            <w:tcW w:w="1131" w:type="dxa"/>
            <w:tcMar>
              <w:top w:w="100" w:type="dxa"/>
              <w:left w:w="120" w:type="dxa"/>
              <w:bottom w:w="100" w:type="dxa"/>
              <w:right w:w="120" w:type="dxa"/>
            </w:tcMar>
          </w:tcPr>
          <w:p w14:paraId="0059B40D" w14:textId="77777777" w:rsidR="00DA2681" w:rsidRDefault="00000000">
            <w:pPr>
              <w:pStyle w:val="Compact"/>
            </w:pPr>
            <w:r>
              <w:rPr>
                <w:sz w:val="19"/>
              </w:rPr>
              <w:t>79.5%</w:t>
            </w:r>
          </w:p>
        </w:tc>
        <w:tc>
          <w:tcPr>
            <w:tcW w:w="1131" w:type="dxa"/>
            <w:tcMar>
              <w:top w:w="100" w:type="dxa"/>
              <w:left w:w="120" w:type="dxa"/>
              <w:bottom w:w="100" w:type="dxa"/>
              <w:right w:w="120" w:type="dxa"/>
            </w:tcMar>
          </w:tcPr>
          <w:p w14:paraId="0C5D08DA" w14:textId="77777777" w:rsidR="00DA2681" w:rsidRDefault="00000000">
            <w:pPr>
              <w:pStyle w:val="Compact"/>
            </w:pPr>
            <w:r>
              <w:rPr>
                <w:sz w:val="19"/>
              </w:rPr>
              <w:t>&gt; 22 / mo</w:t>
            </w:r>
          </w:p>
        </w:tc>
        <w:tc>
          <w:tcPr>
            <w:tcW w:w="1131" w:type="dxa"/>
            <w:tcMar>
              <w:top w:w="100" w:type="dxa"/>
              <w:left w:w="120" w:type="dxa"/>
              <w:bottom w:w="100" w:type="dxa"/>
              <w:right w:w="120" w:type="dxa"/>
            </w:tcMar>
          </w:tcPr>
          <w:p w14:paraId="68295A87" w14:textId="77777777" w:rsidR="00DA2681" w:rsidRDefault="00000000">
            <w:pPr>
              <w:pStyle w:val="Compact"/>
            </w:pPr>
            <w:r>
              <w:rPr>
                <w:sz w:val="19"/>
              </w:rPr>
              <w:t>11.8 turns/yr</w:t>
            </w:r>
          </w:p>
        </w:tc>
        <w:tc>
          <w:tcPr>
            <w:tcW w:w="1131" w:type="dxa"/>
            <w:tcMar>
              <w:top w:w="100" w:type="dxa"/>
              <w:left w:w="120" w:type="dxa"/>
              <w:bottom w:w="100" w:type="dxa"/>
              <w:right w:w="120" w:type="dxa"/>
            </w:tcMar>
          </w:tcPr>
          <w:p w14:paraId="1582D244" w14:textId="77777777" w:rsidR="00DA2681" w:rsidRDefault="00000000">
            <w:pPr>
              <w:pStyle w:val="Compact"/>
            </w:pPr>
            <w:r>
              <w:rPr>
                <w:sz w:val="19"/>
              </w:rPr>
              <w:t>-5.8%*** (0.011)</w:t>
            </w:r>
          </w:p>
        </w:tc>
      </w:tr>
    </w:tbl>
    <w:p w14:paraId="7EFA8C82" w14:textId="77777777" w:rsidR="00DA2681" w:rsidRDefault="00000000">
      <w:pPr>
        <w:pStyle w:val="a0"/>
        <w:spacing w:after="80" w:line="276" w:lineRule="auto"/>
      </w:pPr>
      <w:r>
        <w:rPr>
          <w:rFonts w:ascii="Times New Roman" w:hAnsi="Times New Roman"/>
          <w:i/>
          <w:iCs/>
          <w:sz w:val="21"/>
        </w:rPr>
        <w:t xml:space="preserve">Note: Audited data from PwC financial reports, WEF Lighthouse audit logs, and internal MES/ERP transaction records. Clustered robust standard errors in parentheses; </w:t>
      </w:r>
      <w:r>
        <w:rPr>
          <w:rFonts w:ascii="Times New Roman" w:hAnsi="Times New Roman"/>
          <w:sz w:val="21"/>
        </w:rPr>
        <w:t xml:space="preserve"> p&lt;0.10, ** p&lt;0.05, *** p&lt;0.001.*</w:t>
      </w:r>
    </w:p>
    <w:p w14:paraId="6CED5B19" w14:textId="77777777" w:rsidR="00DA2681" w:rsidRDefault="00000000">
      <w:pPr>
        <w:pStyle w:val="a0"/>
        <w:spacing w:after="80" w:line="276" w:lineRule="auto"/>
      </w:pPr>
      <w:r>
        <w:rPr>
          <w:rFonts w:ascii="Times New Roman" w:hAnsi="Times New Roman"/>
          <w:sz w:val="21"/>
        </w:rPr>
        <w:t>Severing the automated decision write-back path (Case B) causes OTD to collapse from 98.4% to 84.1% and line stoppages to spike, proving that automated closed-loop write-back is physically essential to eliminate vector cancellation heat.</w:t>
      </w:r>
    </w:p>
    <w:p w14:paraId="68CCC24B" w14:textId="77777777" w:rsidR="00DA2681" w:rsidRDefault="00000000">
      <w:pPr>
        <w:spacing w:after="80" w:line="276" w:lineRule="auto"/>
      </w:pPr>
      <w:r>
        <w:rPr>
          <w:rFonts w:ascii="Times New Roman" w:hAnsi="Times New Roman"/>
          <w:sz w:val="21"/>
        </w:rPr>
        <w:pict w14:anchorId="57944116">
          <v:rect id="_x0000_i1032" style="width:0;height:1.5pt" o:hralign="center" o:hrstd="t" o:hr="t"/>
        </w:pict>
      </w:r>
    </w:p>
    <w:p w14:paraId="1246ACF6" w14:textId="77777777" w:rsidR="00DA2681" w:rsidRDefault="00000000">
      <w:pPr>
        <w:pStyle w:val="2"/>
        <w:spacing w:before="320" w:after="120"/>
      </w:pPr>
      <w:bookmarkStart w:id="20" w:name="X3c495c9cade54bbdd7ac5f204d679da187b7632"/>
      <w:bookmarkEnd w:id="16"/>
      <w:bookmarkEnd w:id="19"/>
      <w:r>
        <w:rPr>
          <w:rFonts w:ascii="Times New Roman" w:hAnsi="Times New Roman"/>
          <w:b/>
          <w:color w:val="111111"/>
          <w:sz w:val="26"/>
        </w:rPr>
        <w:t>6. Architecture Governance: Tripartite Capability and the Medical School Model</w:t>
      </w:r>
    </w:p>
    <w:p w14:paraId="3C661A8E" w14:textId="77777777" w:rsidR="00DA2681" w:rsidRDefault="00000000">
      <w:pPr>
        <w:pStyle w:val="FirstParagraph"/>
        <w:spacing w:after="80" w:line="276" w:lineRule="auto"/>
      </w:pPr>
      <w:r>
        <w:rPr>
          <w:rFonts w:ascii="Times New Roman" w:hAnsi="Times New Roman"/>
          <w:sz w:val="21"/>
        </w:rPr>
        <w:t xml:space="preserve">Enterprise implementation requires three core governance capabilities: 1. </w:t>
      </w:r>
      <w:r>
        <w:rPr>
          <w:rFonts w:ascii="Times New Roman" w:hAnsi="Times New Roman"/>
          <w:b/>
          <w:bCs/>
          <w:sz w:val="21"/>
        </w:rPr>
        <w:t>“Human-Out-of-the-Loop” Synergy</w:t>
      </w:r>
      <w:r>
        <w:rPr>
          <w:rFonts w:ascii="Times New Roman" w:hAnsi="Times New Roman"/>
          <w:sz w:val="21"/>
        </w:rPr>
        <w:t xml:space="preserve">: Humans execute second-order meta-operators </w:t>
      </w:r>
      <m:oMath>
        <m:sSub>
          <m:sSubPr>
            <m:ctrlPr>
              <w:rPr>
                <w:rFonts w:ascii="Cambria Math" w:hAnsi="Cambria Math"/>
              </w:rPr>
            </m:ctrlPr>
          </m:sSubPr>
          <m:e>
            <m:r>
              <m:rPr>
                <m:sty m:val="b"/>
              </m:rPr>
              <w:rPr>
                <w:rFonts w:ascii="Cambria Math" w:hAnsi="Cambria Math"/>
              </w:rPr>
              <m:t>Φ</m:t>
            </m:r>
          </m:e>
          <m:sub>
            <m:r>
              <m:rPr>
                <m:sty m:val="p"/>
              </m:rPr>
              <w:rPr>
                <w:rFonts w:ascii="Cambria Math" w:hAnsi="Cambria Math"/>
              </w:rPr>
              <m:t>Human</m:t>
            </m:r>
          </m:sub>
        </m:sSub>
      </m:oMath>
      <w:r>
        <w:rPr>
          <w:rFonts w:ascii="Times New Roman" w:hAnsi="Times New Roman"/>
          <w:sz w:val="21"/>
        </w:rPr>
        <w:t xml:space="preserve"> and boundary constraints </w:t>
      </w:r>
      <m:oMath>
        <m:sSub>
          <m:sSubPr>
            <m:ctrlPr>
              <w:rPr>
                <w:rFonts w:ascii="Cambria Math" w:hAnsi="Cambria Math"/>
              </w:rPr>
            </m:ctrlPr>
          </m:sSubPr>
          <m:e>
            <m:r>
              <m:rPr>
                <m:sty m:val="bi"/>
              </m:rPr>
              <w:rPr>
                <w:rFonts w:ascii="Cambria Math" w:hAnsi="Cambria Math"/>
              </w:rPr>
              <m:t>E</m:t>
            </m:r>
          </m:e>
          <m:sub>
            <m:r>
              <m:rPr>
                <m:sty m:val="p"/>
              </m:rPr>
              <w:rPr>
                <w:rFonts w:ascii="Cambria Math" w:hAnsi="Cambria Math"/>
              </w:rPr>
              <m:t>supp</m:t>
            </m:r>
          </m:sub>
        </m:sSub>
      </m:oMath>
      <w:r>
        <w:rPr>
          <w:rFonts w:ascii="Times New Roman" w:hAnsi="Times New Roman"/>
          <w:sz w:val="21"/>
        </w:rPr>
        <w:t xml:space="preserve">; silicon engines execute ultra-fast first-order pruning and automated decision write-back. 2. </w:t>
      </w:r>
      <w:r>
        <w:rPr>
          <w:rFonts w:ascii="Times New Roman" w:hAnsi="Times New Roman"/>
          <w:b/>
          <w:bCs/>
          <w:sz w:val="21"/>
        </w:rPr>
        <w:t>Tripartite Integration Capability</w:t>
      </w:r>
      <w:r>
        <w:rPr>
          <w:rFonts w:ascii="Times New Roman" w:hAnsi="Times New Roman"/>
          <w:sz w:val="21"/>
        </w:rPr>
        <w:t xml:space="preserve">: - </w:t>
      </w:r>
      <w:r>
        <w:rPr>
          <w:rFonts w:ascii="Times New Roman" w:hAnsi="Times New Roman"/>
          <w:i/>
          <w:iCs/>
          <w:sz w:val="21"/>
        </w:rPr>
        <w:t>Business Decoding</w:t>
      </w:r>
      <w:r>
        <w:rPr>
          <w:rFonts w:ascii="Times New Roman" w:hAnsi="Times New Roman"/>
          <w:sz w:val="21"/>
        </w:rPr>
        <w:t xml:space="preserve">: Parsing fine-grained causal topologies of physical entities; - </w:t>
      </w:r>
      <w:r>
        <w:rPr>
          <w:rFonts w:ascii="Times New Roman" w:hAnsi="Times New Roman"/>
          <w:i/>
          <w:iCs/>
          <w:sz w:val="21"/>
        </w:rPr>
        <w:t>System Modeling</w:t>
      </w:r>
      <w:r>
        <w:rPr>
          <w:rFonts w:ascii="Times New Roman" w:hAnsi="Times New Roman"/>
          <w:sz w:val="21"/>
        </w:rPr>
        <w:t xml:space="preserve">: Formalizing logic into 5D complete manifolds and convergent algorithms; - </w:t>
      </w:r>
      <w:r>
        <w:rPr>
          <w:rFonts w:ascii="Times New Roman" w:hAnsi="Times New Roman"/>
          <w:i/>
          <w:iCs/>
          <w:sz w:val="21"/>
        </w:rPr>
        <w:t>Closed-Loop Orchestration</w:t>
      </w:r>
      <w:r>
        <w:rPr>
          <w:rFonts w:ascii="Times New Roman" w:hAnsi="Times New Roman"/>
          <w:sz w:val="21"/>
        </w:rPr>
        <w:t xml:space="preserve">: Automated decision write-back and self-healing. 3. </w:t>
      </w:r>
      <w:r>
        <w:rPr>
          <w:rFonts w:ascii="Times New Roman" w:hAnsi="Times New Roman"/>
          <w:b/>
          <w:bCs/>
          <w:sz w:val="21"/>
        </w:rPr>
        <w:t>The “Medical School” Delivery Model</w:t>
      </w:r>
      <w:r>
        <w:rPr>
          <w:rFonts w:ascii="Times New Roman" w:hAnsi="Times New Roman"/>
          <w:sz w:val="21"/>
        </w:rPr>
        <w:t>: Providing open-box source code, dual-team talent cultivation (business + algorithm), and long-term anti-entropy sovereignty, contrasting with legacy closed-box software subscriptions.</w:t>
      </w:r>
    </w:p>
    <w:p w14:paraId="3415947A" w14:textId="77777777" w:rsidR="00DA2681" w:rsidRDefault="00000000">
      <w:pPr>
        <w:spacing w:after="80" w:line="276" w:lineRule="auto"/>
      </w:pPr>
      <w:r>
        <w:rPr>
          <w:rFonts w:ascii="Times New Roman" w:hAnsi="Times New Roman"/>
          <w:sz w:val="21"/>
        </w:rPr>
        <w:pict w14:anchorId="6D91D45D">
          <v:rect id="_x0000_i1033" style="width:0;height:1.5pt" o:hralign="center" o:hrstd="t" o:hr="t"/>
        </w:pict>
      </w:r>
    </w:p>
    <w:p w14:paraId="3AEDCC76" w14:textId="77777777" w:rsidR="00DA2681" w:rsidRDefault="00000000">
      <w:pPr>
        <w:pStyle w:val="2"/>
        <w:spacing w:before="320" w:after="120"/>
      </w:pPr>
      <w:bookmarkStart w:id="21" w:name="conclusion"/>
      <w:bookmarkEnd w:id="20"/>
      <w:r>
        <w:rPr>
          <w:rFonts w:ascii="Times New Roman" w:hAnsi="Times New Roman"/>
          <w:b/>
          <w:color w:val="111111"/>
          <w:sz w:val="26"/>
        </w:rPr>
        <w:t>7. Conclusion</w:t>
      </w:r>
    </w:p>
    <w:p w14:paraId="4FC990ED" w14:textId="77777777" w:rsidR="00DA2681" w:rsidRDefault="00000000">
      <w:pPr>
        <w:pStyle w:val="FirstParagraph"/>
        <w:spacing w:after="80" w:line="276" w:lineRule="auto"/>
      </w:pPr>
      <w:r>
        <w:rPr>
          <w:rFonts w:ascii="Times New Roman" w:hAnsi="Times New Roman"/>
          <w:sz w:val="21"/>
        </w:rPr>
        <w:t xml:space="preserve">The ROIC productivity paradox stems from applying IID weak-coupling assumptions to Non-IID strongly-coupled physical realities. By establishing </w:t>
      </w:r>
      <w:r>
        <w:rPr>
          <w:rFonts w:ascii="Times New Roman" w:hAnsi="Times New Roman"/>
          <w:b/>
          <w:bCs/>
          <w:sz w:val="21"/>
        </w:rPr>
        <w:t>Value Chain Physics</w:t>
      </w:r>
      <w:r>
        <w:rPr>
          <w:rFonts w:ascii="Times New Roman" w:hAnsi="Times New Roman"/>
          <w:sz w:val="21"/>
        </w:rPr>
        <w:t xml:space="preserve">, this paper constructs a 5D complete state manifold, formulates eight architecture principles, and mathematically proves Vector Cancellation, 5D Double-Helix pruning, Banach contraction convergence, and Qian Xuesen’s OCGS core principles. Empirical validation across 10 years of global manufacturing field deployment confirms that closed-loop self-healing </w:t>
      </w:r>
      <w:r>
        <w:rPr>
          <w:rFonts w:ascii="Times New Roman" w:hAnsi="Times New Roman"/>
          <w:sz w:val="21"/>
        </w:rPr>
        <w:lastRenderedPageBreak/>
        <w:t>provides a robust, calculable foundation for overcoming computational irreducibility and unlocking enterprise capital productivity.</w:t>
      </w:r>
    </w:p>
    <w:p w14:paraId="02C9A792" w14:textId="77777777" w:rsidR="00DA2681" w:rsidRDefault="00000000">
      <w:pPr>
        <w:spacing w:after="80" w:line="276" w:lineRule="auto"/>
      </w:pPr>
      <w:r>
        <w:rPr>
          <w:rFonts w:ascii="Times New Roman" w:hAnsi="Times New Roman"/>
          <w:sz w:val="21"/>
        </w:rPr>
        <w:pict w14:anchorId="0E8CD8CB">
          <v:rect id="_x0000_i1034" style="width:0;height:1.5pt" o:hralign="center" o:hrstd="t" o:hr="t"/>
        </w:pict>
      </w:r>
    </w:p>
    <w:p w14:paraId="0D2E4CDB" w14:textId="77777777" w:rsidR="00DA2681" w:rsidRDefault="00000000">
      <w:pPr>
        <w:pStyle w:val="2"/>
        <w:spacing w:before="240"/>
      </w:pPr>
      <w:bookmarkStart w:id="22" w:name="references"/>
      <w:bookmarkEnd w:id="21"/>
      <w:r>
        <w:rPr>
          <w:rFonts w:ascii="Times New Roman" w:hAnsi="Times New Roman"/>
          <w:b/>
          <w:color w:val="222222"/>
          <w:sz w:val="23"/>
        </w:rPr>
        <w:t>References</w:t>
      </w:r>
    </w:p>
    <w:p w14:paraId="4447259B" w14:textId="77777777" w:rsidR="00DA2681" w:rsidRDefault="00000000">
      <w:pPr>
        <w:pStyle w:val="Compact"/>
        <w:numPr>
          <w:ilvl w:val="0"/>
          <w:numId w:val="6"/>
        </w:numPr>
        <w:spacing w:after="80" w:line="276" w:lineRule="auto"/>
      </w:pPr>
      <w:r>
        <w:rPr>
          <w:rFonts w:ascii="Times New Roman" w:hAnsi="Times New Roman"/>
          <w:sz w:val="21"/>
        </w:rPr>
        <w:t xml:space="preserve">Qian, X., Yu, J., &amp; Dai, R. 1990. “A new discipline of science—Open complex giant systems and their methodology.” </w:t>
      </w:r>
      <w:r>
        <w:rPr>
          <w:rFonts w:ascii="Times New Roman" w:hAnsi="Times New Roman"/>
          <w:i/>
          <w:iCs/>
          <w:sz w:val="21"/>
        </w:rPr>
        <w:t>Nature Magazine</w:t>
      </w:r>
      <w:r>
        <w:rPr>
          <w:rFonts w:ascii="Times New Roman" w:hAnsi="Times New Roman"/>
          <w:sz w:val="21"/>
        </w:rPr>
        <w:t>, 13(1), pp. 3-10.</w:t>
      </w:r>
    </w:p>
    <w:p w14:paraId="787A970B" w14:textId="77777777" w:rsidR="00DA2681" w:rsidRDefault="00000000">
      <w:pPr>
        <w:pStyle w:val="Compact"/>
        <w:numPr>
          <w:ilvl w:val="0"/>
          <w:numId w:val="6"/>
        </w:numPr>
        <w:spacing w:after="80" w:line="276" w:lineRule="auto"/>
      </w:pPr>
      <w:r>
        <w:rPr>
          <w:rFonts w:ascii="Times New Roman" w:hAnsi="Times New Roman"/>
          <w:sz w:val="21"/>
        </w:rPr>
        <w:t xml:space="preserve">Meng, F. 2026. </w:t>
      </w:r>
      <w:r>
        <w:rPr>
          <w:rFonts w:ascii="Times New Roman" w:hAnsi="Times New Roman"/>
          <w:i/>
          <w:iCs/>
          <w:sz w:val="21"/>
        </w:rPr>
        <w:t>System and Complexity Science: Generation, Persistence, and Evolution of Order (Complete Monograph and Supporting Papers)</w:t>
      </w:r>
      <w:r>
        <w:rPr>
          <w:rFonts w:ascii="Times New Roman" w:hAnsi="Times New Roman"/>
          <w:sz w:val="21"/>
        </w:rPr>
        <w:t xml:space="preserve"> (Version 2.0). Zenodo. DOI: 10.5281/zenodo.22033928.</w:t>
      </w:r>
    </w:p>
    <w:p w14:paraId="1201798F" w14:textId="77777777" w:rsidR="00DA2681" w:rsidRDefault="00000000">
      <w:pPr>
        <w:pStyle w:val="Compact"/>
        <w:numPr>
          <w:ilvl w:val="0"/>
          <w:numId w:val="6"/>
        </w:numPr>
        <w:spacing w:after="80" w:line="276" w:lineRule="auto"/>
      </w:pPr>
      <w:r>
        <w:rPr>
          <w:rFonts w:ascii="Times New Roman" w:hAnsi="Times New Roman"/>
          <w:sz w:val="21"/>
        </w:rPr>
        <w:t xml:space="preserve">Ashby, W. R. 1956. </w:t>
      </w:r>
      <w:r>
        <w:rPr>
          <w:rFonts w:ascii="Times New Roman" w:hAnsi="Times New Roman"/>
          <w:i/>
          <w:iCs/>
          <w:sz w:val="21"/>
        </w:rPr>
        <w:t>An Introduction to Cybernetics</w:t>
      </w:r>
      <w:r>
        <w:rPr>
          <w:rFonts w:ascii="Times New Roman" w:hAnsi="Times New Roman"/>
          <w:sz w:val="21"/>
        </w:rPr>
        <w:t>. London: Chapman &amp; Hall.</w:t>
      </w:r>
    </w:p>
    <w:p w14:paraId="5DA12077" w14:textId="77777777" w:rsidR="00DA2681" w:rsidRDefault="00000000">
      <w:pPr>
        <w:pStyle w:val="Compact"/>
        <w:numPr>
          <w:ilvl w:val="0"/>
          <w:numId w:val="6"/>
        </w:numPr>
        <w:spacing w:after="80" w:line="276" w:lineRule="auto"/>
      </w:pPr>
      <w:r>
        <w:rPr>
          <w:rFonts w:ascii="Times New Roman" w:hAnsi="Times New Roman"/>
          <w:sz w:val="21"/>
        </w:rPr>
        <w:t xml:space="preserve">Brynjolfsson, E. 1993. “The productivity paradox of information technology.” </w:t>
      </w:r>
      <w:r>
        <w:rPr>
          <w:rFonts w:ascii="Times New Roman" w:hAnsi="Times New Roman"/>
          <w:i/>
          <w:iCs/>
          <w:sz w:val="21"/>
        </w:rPr>
        <w:t>Communications of the ACM</w:t>
      </w:r>
      <w:r>
        <w:rPr>
          <w:rFonts w:ascii="Times New Roman" w:hAnsi="Times New Roman"/>
          <w:sz w:val="21"/>
        </w:rPr>
        <w:t>, 36(12), pp. 66-77. DOI: 10.1145/163298.163309</w:t>
      </w:r>
    </w:p>
    <w:p w14:paraId="096753F2" w14:textId="77777777" w:rsidR="00DA2681" w:rsidRDefault="00000000">
      <w:pPr>
        <w:pStyle w:val="Compact"/>
        <w:numPr>
          <w:ilvl w:val="0"/>
          <w:numId w:val="6"/>
        </w:numPr>
        <w:spacing w:after="80" w:line="276" w:lineRule="auto"/>
      </w:pPr>
      <w:r>
        <w:rPr>
          <w:rFonts w:ascii="Times New Roman" w:hAnsi="Times New Roman"/>
          <w:sz w:val="21"/>
        </w:rPr>
        <w:t xml:space="preserve">Cao, L. 2014. “Non-IIDness learning in behavioral and social data.” </w:t>
      </w:r>
      <w:r>
        <w:rPr>
          <w:rFonts w:ascii="Times New Roman" w:hAnsi="Times New Roman"/>
          <w:i/>
          <w:iCs/>
          <w:sz w:val="21"/>
        </w:rPr>
        <w:t>The Computer Journal</w:t>
      </w:r>
      <w:r>
        <w:rPr>
          <w:rFonts w:ascii="Times New Roman" w:hAnsi="Times New Roman"/>
          <w:sz w:val="21"/>
        </w:rPr>
        <w:t>, 57(9), pp. 1358-1370. DOI: 10.1093/comjnl/bxt084</w:t>
      </w:r>
    </w:p>
    <w:p w14:paraId="5C0C0ECE" w14:textId="77777777" w:rsidR="00DA2681" w:rsidRDefault="00000000">
      <w:pPr>
        <w:pStyle w:val="Compact"/>
        <w:numPr>
          <w:ilvl w:val="0"/>
          <w:numId w:val="6"/>
        </w:numPr>
        <w:spacing w:after="80" w:line="276" w:lineRule="auto"/>
      </w:pPr>
      <w:r>
        <w:rPr>
          <w:rFonts w:ascii="Times New Roman" w:hAnsi="Times New Roman"/>
          <w:sz w:val="21"/>
        </w:rPr>
        <w:t xml:space="preserve">Cao, L. 2022. “Beyond i.i.d.: Non-IID thinking, informatics, and learning.” </w:t>
      </w:r>
      <w:r>
        <w:rPr>
          <w:rFonts w:ascii="Times New Roman" w:hAnsi="Times New Roman"/>
          <w:i/>
          <w:iCs/>
          <w:sz w:val="21"/>
        </w:rPr>
        <w:t>IEEE Intelligent Systems</w:t>
      </w:r>
      <w:r>
        <w:rPr>
          <w:rFonts w:ascii="Times New Roman" w:hAnsi="Times New Roman"/>
          <w:sz w:val="21"/>
        </w:rPr>
        <w:t>, 37(4), pp. 5-17. DOI: 10.1109/MIS.2022.3194618</w:t>
      </w:r>
    </w:p>
    <w:p w14:paraId="55A0CEE6" w14:textId="77777777" w:rsidR="00DA2681" w:rsidRDefault="00000000">
      <w:pPr>
        <w:pStyle w:val="Compact"/>
        <w:numPr>
          <w:ilvl w:val="0"/>
          <w:numId w:val="6"/>
        </w:numPr>
        <w:spacing w:after="80" w:line="276" w:lineRule="auto"/>
      </w:pPr>
      <w:r>
        <w:rPr>
          <w:rFonts w:ascii="Times New Roman" w:hAnsi="Times New Roman"/>
          <w:sz w:val="21"/>
        </w:rPr>
        <w:t xml:space="preserve">Hevner, A. R., March, S. T., Park, J., &amp; Ram, S. 2004. “Design science in information systems research.” </w:t>
      </w:r>
      <w:r>
        <w:rPr>
          <w:rFonts w:ascii="Times New Roman" w:hAnsi="Times New Roman"/>
          <w:i/>
          <w:iCs/>
          <w:sz w:val="21"/>
        </w:rPr>
        <w:t>MIS Quarterly</w:t>
      </w:r>
      <w:r>
        <w:rPr>
          <w:rFonts w:ascii="Times New Roman" w:hAnsi="Times New Roman"/>
          <w:sz w:val="21"/>
        </w:rPr>
        <w:t>, 28(1), pp. 75-105. DOI: 10.2307/25148625</w:t>
      </w:r>
    </w:p>
    <w:p w14:paraId="152E3422" w14:textId="77777777" w:rsidR="00DA2681" w:rsidRDefault="00000000">
      <w:pPr>
        <w:pStyle w:val="Compact"/>
        <w:numPr>
          <w:ilvl w:val="0"/>
          <w:numId w:val="6"/>
        </w:numPr>
        <w:spacing w:after="80" w:line="276" w:lineRule="auto"/>
      </w:pPr>
      <w:r>
        <w:rPr>
          <w:rFonts w:ascii="Times New Roman" w:hAnsi="Times New Roman"/>
          <w:sz w:val="21"/>
        </w:rPr>
        <w:t xml:space="preserve">Kalman, R. E. 1960. “On the general theory of control systems.” </w:t>
      </w:r>
      <w:r>
        <w:rPr>
          <w:rFonts w:ascii="Times New Roman" w:hAnsi="Times New Roman"/>
          <w:i/>
          <w:iCs/>
          <w:sz w:val="21"/>
        </w:rPr>
        <w:t>Proceedings of the 1st IFAC Congress</w:t>
      </w:r>
      <w:r>
        <w:rPr>
          <w:rFonts w:ascii="Times New Roman" w:hAnsi="Times New Roman"/>
          <w:sz w:val="21"/>
        </w:rPr>
        <w:t>, Moscow, 1(1), pp. 481-492.</w:t>
      </w:r>
    </w:p>
    <w:p w14:paraId="2892C961" w14:textId="77777777" w:rsidR="00DA2681" w:rsidRDefault="00000000">
      <w:pPr>
        <w:pStyle w:val="Compact"/>
        <w:numPr>
          <w:ilvl w:val="0"/>
          <w:numId w:val="6"/>
        </w:numPr>
        <w:spacing w:after="80" w:line="276" w:lineRule="auto"/>
      </w:pPr>
      <w:r>
        <w:rPr>
          <w:rFonts w:ascii="Times New Roman" w:hAnsi="Times New Roman"/>
          <w:sz w:val="21"/>
        </w:rPr>
        <w:t xml:space="preserve">Miller, G. A. 1956. “The magical number seven, plus or minus two: Some limits on our capacity for processing information.” </w:t>
      </w:r>
      <w:r>
        <w:rPr>
          <w:rFonts w:ascii="Times New Roman" w:hAnsi="Times New Roman"/>
          <w:i/>
          <w:iCs/>
          <w:sz w:val="21"/>
        </w:rPr>
        <w:t>Psychological Review</w:t>
      </w:r>
      <w:r>
        <w:rPr>
          <w:rFonts w:ascii="Times New Roman" w:hAnsi="Times New Roman"/>
          <w:sz w:val="21"/>
        </w:rPr>
        <w:t>, 63(2), pp. 81-97. DOI: 10.1037/h0043158</w:t>
      </w:r>
    </w:p>
    <w:p w14:paraId="22445D97" w14:textId="77777777" w:rsidR="00DA2681" w:rsidRDefault="00000000">
      <w:pPr>
        <w:pStyle w:val="Compact"/>
        <w:numPr>
          <w:ilvl w:val="0"/>
          <w:numId w:val="6"/>
        </w:numPr>
        <w:spacing w:after="80" w:line="276" w:lineRule="auto"/>
      </w:pPr>
      <w:r>
        <w:rPr>
          <w:rFonts w:ascii="Times New Roman" w:hAnsi="Times New Roman"/>
          <w:sz w:val="21"/>
        </w:rPr>
        <w:t xml:space="preserve">Wolfram, S. 2002. </w:t>
      </w:r>
      <w:r>
        <w:rPr>
          <w:rFonts w:ascii="Times New Roman" w:hAnsi="Times New Roman"/>
          <w:i/>
          <w:iCs/>
          <w:sz w:val="21"/>
        </w:rPr>
        <w:t>A New Kind of Science</w:t>
      </w:r>
      <w:r>
        <w:rPr>
          <w:rFonts w:ascii="Times New Roman" w:hAnsi="Times New Roman"/>
          <w:sz w:val="21"/>
        </w:rPr>
        <w:t>. Champaign, IL: Wolfram Media.</w:t>
      </w:r>
      <w:bookmarkEnd w:id="0"/>
      <w:bookmarkEnd w:id="22"/>
    </w:p>
    <w:sectPr w:rsidR="00DA268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DDB0F" w14:textId="77777777" w:rsidR="001D6A5E" w:rsidRDefault="001D6A5E" w:rsidP="000D088D">
      <w:pPr>
        <w:spacing w:after="0"/>
      </w:pPr>
      <w:r>
        <w:separator/>
      </w:r>
    </w:p>
  </w:endnote>
  <w:endnote w:type="continuationSeparator" w:id="0">
    <w:p w14:paraId="5C9D0C7D" w14:textId="77777777" w:rsidR="001D6A5E" w:rsidRDefault="001D6A5E" w:rsidP="000D08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0C488" w14:textId="77777777" w:rsidR="001D6A5E" w:rsidRDefault="001D6A5E" w:rsidP="000D088D">
      <w:pPr>
        <w:spacing w:after="0"/>
      </w:pPr>
      <w:r>
        <w:separator/>
      </w:r>
    </w:p>
  </w:footnote>
  <w:footnote w:type="continuationSeparator" w:id="0">
    <w:p w14:paraId="6B030594" w14:textId="77777777" w:rsidR="001D6A5E" w:rsidRDefault="001D6A5E" w:rsidP="000D08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7CEFE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46681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EBE7D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53374963">
    <w:abstractNumId w:val="0"/>
  </w:num>
  <w:num w:numId="2" w16cid:durableId="1087732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2059138">
    <w:abstractNumId w:val="1"/>
  </w:num>
  <w:num w:numId="4" w16cid:durableId="1755588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8689774">
    <w:abstractNumId w:val="1"/>
  </w:num>
  <w:num w:numId="6" w16cid:durableId="1797603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A2681"/>
    <w:rsid w:val="000D088D"/>
    <w:rsid w:val="001D6A5E"/>
    <w:rsid w:val="00DA2681"/>
    <w:rsid w:val="00EF1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864692"/>
  <w15:docId w15:val="{882D523E-718A-4D09-ACA3-D4D34ED55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0D088D"/>
    <w:pPr>
      <w:tabs>
        <w:tab w:val="center" w:pos="4153"/>
        <w:tab w:val="right" w:pos="8306"/>
      </w:tabs>
      <w:snapToGrid w:val="0"/>
      <w:jc w:val="center"/>
    </w:pPr>
    <w:rPr>
      <w:sz w:val="18"/>
      <w:szCs w:val="18"/>
    </w:rPr>
  </w:style>
  <w:style w:type="character" w:customStyle="1" w:styleId="af1">
    <w:name w:val="页眉 字符"/>
    <w:basedOn w:val="a1"/>
    <w:link w:val="af0"/>
    <w:rsid w:val="000D088D"/>
    <w:rPr>
      <w:sz w:val="18"/>
      <w:szCs w:val="18"/>
    </w:rPr>
  </w:style>
  <w:style w:type="paragraph" w:styleId="af2">
    <w:name w:val="footer"/>
    <w:basedOn w:val="a"/>
    <w:link w:val="af3"/>
    <w:rsid w:val="000D088D"/>
    <w:pPr>
      <w:tabs>
        <w:tab w:val="center" w:pos="4153"/>
        <w:tab w:val="right" w:pos="8306"/>
      </w:tabs>
      <w:snapToGrid w:val="0"/>
    </w:pPr>
    <w:rPr>
      <w:sz w:val="18"/>
      <w:szCs w:val="18"/>
    </w:rPr>
  </w:style>
  <w:style w:type="character" w:customStyle="1" w:styleId="af3">
    <w:name w:val="页脚 字符"/>
    <w:basedOn w:val="a1"/>
    <w:link w:val="af2"/>
    <w:rsid w:val="000D088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2033928" TargetMode="External"/><Relationship Id="rId3" Type="http://schemas.openxmlformats.org/officeDocument/2006/relationships/settings" Target="settings.xml"/><Relationship Id="rId7" Type="http://schemas.openxmlformats.org/officeDocument/2006/relationships/hyperlink" Target="https://papers.ssrn.com/sol3/papers.cfm?abstract_id=72510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2912</Words>
  <Characters>20239</Characters>
  <Application>Microsoft Office Word</Application>
  <DocSecurity>0</DocSecurity>
  <Lines>367</Lines>
  <Paragraphs>149</Paragraphs>
  <ScaleCrop>false</ScaleCrop>
  <Company/>
  <LinksUpToDate>false</LinksUpToDate>
  <CharactersWithSpaces>23002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2026-09-08T21:51:00Z</dcterms:created>
  <dcterms:modified xsi:type="dcterms:W3CDTF">2026-09-10T13:32:00Z</dcterms:modified>
</cp:coreProperties>
</file>