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E31FB" w:rsidRDefault="0010444F">
      <w:pPr>
        <w:pStyle w:val="1"/>
      </w:pPr>
      <w:bookmarkStart w:id="0" w:name="X28a4dafb2cde0a9fb772b72ce1ce7d2daa49e71"/>
      <w:r>
        <w:t>Generation, Survival, and Evolution of Open Complex Giant Systems —— Inference Deductions and Isomorphic Proof of OCGS Based on the Non-IID First Principle</w:t>
      </w:r>
    </w:p>
    <w:p w:rsidR="002E31FB" w:rsidRDefault="0010444F">
      <w:pPr>
        <w:pStyle w:val="FirstParagraph"/>
      </w:pPr>
      <w:r>
        <w:rPr>
          <w:b/>
          <w:bCs/>
        </w:rPr>
        <w:t>Grit Meng</w:t>
      </w:r>
      <w:r>
        <w:br/>
        <w:t>Former Head &amp; Chief Architect, Integrated Planning Solution (IPS), Lenovo Global Supply Chain</w:t>
      </w:r>
      <w:r>
        <w:br/>
        <w:t>Creator of the Intelligent Planning &amp; Control (IPC) Engine | Independent Scholar</w:t>
      </w:r>
    </w:p>
    <w:p w:rsidR="002E31FB" w:rsidRDefault="0010444F">
      <w:r>
        <w:pict>
          <v:rect id="_x0000_i1025" style="width:0;height:1.5pt" o:hralign="center" o:hrstd="t" o:hr="t"/>
        </w:pict>
      </w:r>
    </w:p>
    <w:p w:rsidR="002E31FB" w:rsidRDefault="0010444F">
      <w:pPr>
        <w:pStyle w:val="2"/>
      </w:pPr>
      <w:bookmarkStart w:id="1" w:name="abstract"/>
      <w:r>
        <w:t>Abstract</w:t>
      </w:r>
    </w:p>
    <w:p w:rsidR="002E31FB" w:rsidRDefault="0010444F">
      <w:pPr>
        <w:pStyle w:val="FirstParagraph"/>
      </w:pPr>
      <w:r>
        <w:t>The long-term survival and evolution of Open Complex Giant Systems (OCGS) remain one of the ultimate challenges in system science and complexity science [1-4]. Grounded in 18 years of industrial physical practice (IPS System) at Lenovo Group and computational breakthroughs of the Intelligent Planning and Control (IPC) Engine [11-15], this paper extracts and establishes the Non-Independent and Non-Identically Distributed (Non-IID) First Principle [4]. This paper explicitly decouples “qualitative deduction” f</w:t>
      </w:r>
      <w:r>
        <w:t>rom “formal quantitative proof”: citing classical cybernetics, mathematical logic, and economic theorems (such as Wiener’s cybernetic boundary constraint [5,6], Arrow’s impossibility theorem [8], Gödel’s incompleteness theorem [9], etc.) to prove “why it is physically inevitable”; simultaneously, it establishes the 5D Dual-Helix algebraic pruning, Variational Internal Friction Minimization (Zero Vector Cancellation), and Polynomial Closed-Loop Computability Theorem (</w:t>
      </w: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oMath>
      <w:r>
        <w:t>) under physical instability window truncation, providing a self-contained formal mathematical framework and computability guarantee for closed-loop computability and unique extremal steady-state convergence in high-dimensional non-convex phase spaces. The paper establishes a 1-to-1 physical and cybernetic isomorphic mapping between eight qualitative deductions and Qian Xuesen’s OCGS theory [1-3], while establishing extremely rigorous Popperian falsifiability boundaries. The academic c</w:t>
      </w:r>
      <w:r>
        <w:t>ontribution of this paper lies in attempting to provide a formal computable proof for Qian Xuesen’s OCGS theory [1-3], while validating the physical realizability of “human-out-of-the-loop” autonomous closed-loop control through 18 years of industrial validation.</w:t>
      </w:r>
    </w:p>
    <w:p w:rsidR="002E31FB" w:rsidRDefault="0010444F">
      <w:pPr>
        <w:pStyle w:val="a0"/>
      </w:pPr>
      <w:r>
        <w:rPr>
          <w:b/>
          <w:bCs/>
        </w:rPr>
        <w:t>Keywords</w:t>
      </w:r>
      <w:r>
        <w:t xml:space="preserve">: System and Complexity Science; Open Complex Giant Systems (OCGS); Non-Independent and Non-Identically Distributed (Non-IID); Vector Cancellation; </w:t>
      </w:r>
      <w:r>
        <w:lastRenderedPageBreak/>
        <w:t>Metasynthetic Wisdom; Department of Overall Design; Qian’s Isomorphism Proof; Closed-Loop Computability</w:t>
      </w:r>
    </w:p>
    <w:p w:rsidR="002E31FB" w:rsidRDefault="0010444F">
      <w:r>
        <w:pict>
          <v:rect id="_x0000_i1026" style="width:0;height:1.5pt" o:hralign="center" o:hrstd="t" o:hr="t"/>
        </w:pict>
      </w:r>
    </w:p>
    <w:p w:rsidR="002E31FB" w:rsidRDefault="0010444F">
      <w:pPr>
        <w:pStyle w:val="1"/>
      </w:pPr>
      <w:bookmarkStart w:id="2" w:name="Xdeb5861aa23da8c1435c11e5f7f8fdbafd7db77"/>
      <w:bookmarkEnd w:id="1"/>
      <w:bookmarkEnd w:id="0"/>
      <w:r>
        <w:t>Part I: Industrial Empirical Foundation &amp; Cognitive Evolution</w:t>
      </w:r>
    </w:p>
    <w:p w:rsidR="002E31FB" w:rsidRDefault="0010444F">
      <w:pPr>
        <w:pStyle w:val="2"/>
      </w:pPr>
      <w:bookmarkStart w:id="3" w:name="X850ca550dae85daca5b5ccc544ab5223c25b707"/>
      <w:r>
        <w:t>1. IPS 18-Year Empirical “Plan-Execute-Closed-Loop” Practice</w:t>
      </w:r>
    </w:p>
    <w:p w:rsidR="002E31FB" w:rsidRDefault="0010444F">
      <w:pPr>
        <w:pStyle w:val="FirstParagraph"/>
      </w:pPr>
      <w:r>
        <w:t>The theory in this paper does not stem from pure mathematical deduction or abstract assumptions, but is extracted from 18 years of global industrial physical validation at Lenovo Group [11,13]. In the real battlefield of the IPS (Intelligent Planning System) architecture, the system successfully achieved a high-frequency “plan-execute-feedback” closed loop, maintaining an autonomous decision rate of over 95% “human-out-of-the-loop” for 18 consecutive years.</w:t>
      </w:r>
    </w:p>
    <w:p w:rsidR="002E31FB" w:rsidRDefault="0010444F">
      <w:pPr>
        <w:pStyle w:val="3"/>
      </w:pPr>
      <w:bookmarkStart w:id="4" w:name="empirical-field-and-rigid-closed-loop"/>
      <w:r>
        <w:t>1.1 Empirical Field and Rigid Closed Loop</w:t>
      </w:r>
    </w:p>
    <w:p w:rsidR="002E31FB" w:rsidRDefault="0010444F">
      <w:pPr>
        <w:pStyle w:val="FirstParagraph"/>
      </w:pPr>
      <w:r>
        <w:t xml:space="preserve">In the empirical field of global supply chain management (covering global ODM collaboration networks across the Americas, Europe, Asia-Pacific, etc.), the system routinely controls </w:t>
      </w:r>
      <w:r>
        <w:rPr>
          <w:b/>
          <w:bCs/>
        </w:rPr>
        <w:t>50,000 discrete demands, 2,000,000 SKU-Site nodes, and 150,000 topological constraints</w:t>
      </w:r>
      <w:r>
        <w:t>. The system established an upgraded six-step rigid closed loop:</w:t>
      </w:r>
    </w:p>
    <w:p w:rsidR="002E31FB" w:rsidRDefault="0010444F">
      <w:pPr>
        <w:pStyle w:val="aa"/>
      </w:pPr>
      <w:r>
        <w:rPr>
          <w:b/>
          <w:bCs/>
        </w:rPr>
        <w:t>Six-Step Rigid Closed-Loop Process</w:t>
      </w:r>
      <w:r>
        <w:t>:</w:t>
      </w:r>
      <w:r>
        <w:br/>
      </w:r>
      <w:r>
        <w:rPr>
          <w:b/>
          <w:bCs/>
        </w:rPr>
        <w:t>1. OTP Update (Optimized To Promise)</w:t>
      </w:r>
      <w:r>
        <w:t xml:space="preserve"> </w:t>
      </w:r>
      <m:oMath>
        <m:r>
          <m:rPr>
            <m:sty m:val="p"/>
          </m:rPr>
          <w:rPr>
            <w:rFonts w:ascii="Cambria Math" w:hAnsi="Cambria Math"/>
          </w:rPr>
          <m:t>→</m:t>
        </m:r>
      </m:oMath>
      <w:r>
        <w:t xml:space="preserve"> </w:t>
      </w:r>
      <w:r>
        <w:rPr>
          <w:b/>
          <w:bCs/>
        </w:rPr>
        <w:t>2. Execution Plan</w:t>
      </w:r>
      <w:r>
        <w:t xml:space="preserve"> </w:t>
      </w:r>
      <m:oMath>
        <m:r>
          <m:rPr>
            <m:sty m:val="p"/>
          </m:rPr>
          <w:rPr>
            <w:rFonts w:ascii="Cambria Math" w:hAnsi="Cambria Math"/>
          </w:rPr>
          <m:t>→</m:t>
        </m:r>
      </m:oMath>
      <w:r>
        <w:t xml:space="preserve"> </w:t>
      </w:r>
      <w:r>
        <w:rPr>
          <w:b/>
          <w:bCs/>
        </w:rPr>
        <w:t>3. Work Order Release</w:t>
      </w:r>
      <w:r>
        <w:t xml:space="preserve"> </w:t>
      </w:r>
      <m:oMath>
        <m:r>
          <m:rPr>
            <m:sty m:val="p"/>
          </m:rPr>
          <w:rPr>
            <w:rFonts w:ascii="Cambria Math" w:hAnsi="Cambria Math"/>
          </w:rPr>
          <m:t>→</m:t>
        </m:r>
      </m:oMath>
      <w:r>
        <w:t xml:space="preserve"> </w:t>
      </w:r>
      <w:r>
        <w:rPr>
          <w:b/>
          <w:bCs/>
        </w:rPr>
        <w:t>4. Micro-Scheduling</w:t>
      </w:r>
      <w:r>
        <w:t xml:space="preserve"> </w:t>
      </w:r>
      <m:oMath>
        <m:r>
          <m:rPr>
            <m:sty m:val="p"/>
          </m:rPr>
          <w:rPr>
            <w:rFonts w:ascii="Cambria Math" w:hAnsi="Cambria Math"/>
          </w:rPr>
          <m:t>→</m:t>
        </m:r>
      </m:oMath>
      <w:r>
        <w:t xml:space="preserve"> </w:t>
      </w:r>
      <w:r>
        <w:rPr>
          <w:b/>
          <w:bCs/>
        </w:rPr>
        <w:t>5. Call Material</w:t>
      </w:r>
      <w:r>
        <w:t xml:space="preserve"> </w:t>
      </w:r>
      <m:oMath>
        <m:r>
          <m:rPr>
            <m:sty m:val="p"/>
          </m:rPr>
          <w:rPr>
            <w:rFonts w:ascii="Cambria Math" w:hAnsi="Cambria Math"/>
          </w:rPr>
          <m:t>→</m:t>
        </m:r>
      </m:oMath>
      <w:r>
        <w:t xml:space="preserve"> </w:t>
      </w:r>
      <w:r>
        <w:rPr>
          <w:b/>
          <w:bCs/>
        </w:rPr>
        <w:t>6. Shipping Notification</w:t>
      </w:r>
    </w:p>
    <w:p w:rsidR="002E31FB" w:rsidRDefault="0010444F">
      <w:pPr>
        <w:pStyle w:val="FirstParagraph"/>
      </w:pPr>
      <w:r>
        <w:t>All abnormal perturbations are quantitatively replanned and closed-loop feedback-written within 48 hours.</w:t>
      </w:r>
    </w:p>
    <w:p w:rsidR="002E31FB" w:rsidRDefault="0010444F">
      <w:pPr>
        <w:pStyle w:val="3"/>
      </w:pPr>
      <w:bookmarkStart w:id="5" w:name="Xfc5780505255e5ecc7bcde8e2e4b672c4673ea4"/>
      <w:bookmarkEnd w:id="4"/>
      <w:r>
        <w:t>1.2 Rigorous Statistical Validation and Quantitative Efficiency</w:t>
      </w:r>
    </w:p>
    <w:p w:rsidR="002E31FB" w:rsidRDefault="0010444F">
      <w:pPr>
        <w:pStyle w:val="Compact"/>
        <w:numPr>
          <w:ilvl w:val="0"/>
          <w:numId w:val="2"/>
        </w:numPr>
      </w:pPr>
      <w:r>
        <w:rPr>
          <w:b/>
          <w:bCs/>
        </w:rPr>
        <w:t>Autonomous Decision Rate</w:t>
      </w:r>
      <w:r>
        <w:t xml:space="preserve">: Reached </w:t>
      </w:r>
      <w:r>
        <w:rPr>
          <w:b/>
          <w:bCs/>
        </w:rPr>
        <w:t>over 95%</w:t>
      </w:r>
      <w:r>
        <w:t xml:space="preserve"> (maintaining routine “human-out-of-the-loop” closed loop for 18 years);</w:t>
      </w:r>
    </w:p>
    <w:p w:rsidR="002E31FB" w:rsidRDefault="0010444F">
      <w:pPr>
        <w:pStyle w:val="Compact"/>
        <w:numPr>
          <w:ilvl w:val="0"/>
          <w:numId w:val="2"/>
        </w:numPr>
      </w:pPr>
      <w:r>
        <w:rPr>
          <w:b/>
          <w:bCs/>
        </w:rPr>
        <w:t>48-Hour Response Rate</w:t>
      </w:r>
      <w:r>
        <w:t xml:space="preserve">: Stabilized at </w:t>
      </w:r>
      <w:r>
        <w:rPr>
          <w:b/>
          <w:bCs/>
        </w:rPr>
        <w:t>over 98.0%</w:t>
      </w:r>
      <w:r>
        <w:t>;</w:t>
      </w:r>
    </w:p>
    <w:p w:rsidR="002E31FB" w:rsidRDefault="0010444F">
      <w:pPr>
        <w:pStyle w:val="Compact"/>
        <w:numPr>
          <w:ilvl w:val="0"/>
          <w:numId w:val="2"/>
        </w:numPr>
      </w:pPr>
      <w:r>
        <w:rPr>
          <w:b/>
          <w:bCs/>
        </w:rPr>
        <w:t>Delivery Accuracy</w:t>
      </w:r>
      <w:r>
        <w:t xml:space="preserve">: Achieved a high-precision two-way control interval of </w:t>
      </w:r>
      <w:r>
        <w:rPr>
          <w:b/>
          <w:bCs/>
        </w:rPr>
        <w:t>“95% not late, 82% not early”</w:t>
      </w:r>
      <w:r>
        <w:t xml:space="preserve"> (where 18% early delivery represents active replenishment after ODM elastic capacity release, not planning misjudgment);</w:t>
      </w:r>
    </w:p>
    <w:p w:rsidR="002E31FB" w:rsidRDefault="0010444F">
      <w:pPr>
        <w:pStyle w:val="Compact"/>
        <w:numPr>
          <w:ilvl w:val="0"/>
          <w:numId w:val="2"/>
        </w:numPr>
      </w:pPr>
      <w:r>
        <w:rPr>
          <w:b/>
          <w:bCs/>
        </w:rPr>
        <w:t>Asset Turnover Efficiency</w:t>
      </w:r>
      <w:r>
        <w:t xml:space="preserve">: Turnover days significantly shortened, asset turnover multiplier increased from 1.0 to </w:t>
      </w:r>
      <w:r>
        <w:rPr>
          <w:b/>
          <w:bCs/>
        </w:rPr>
        <w:t>1.9x</w:t>
      </w:r>
      <w:r>
        <w:t xml:space="preserve"> [12].</w:t>
      </w:r>
    </w:p>
    <w:p w:rsidR="002E31FB" w:rsidRDefault="0010444F">
      <w:pPr>
        <w:pStyle w:val="FirstParagraph"/>
      </w:pPr>
      <w:r>
        <w:lastRenderedPageBreak/>
        <w:t>The physical significance of this fact is that the “closed-loop computability” and “autonomous controllability” of Open Complex Giant Systems are by no means theoretical constructs staying on paper, but an established physical fact validated by 18 years of industrial physical practice.</w:t>
      </w:r>
    </w:p>
    <w:p w:rsidR="002E31FB" w:rsidRDefault="0010444F">
      <w:pPr>
        <w:pStyle w:val="2"/>
      </w:pPr>
      <w:bookmarkStart w:id="6" w:name="Xd216cfdc38f1135661d13d89bbacd86bea9b7a4"/>
      <w:bookmarkEnd w:id="5"/>
      <w:bookmarkEnd w:id="3"/>
      <w:r>
        <w:t>2. IPC Computational Engine Breakthrough: Single-Machine Ultra-Fast Solving and Breaking Scaling Law</w:t>
      </w:r>
    </w:p>
    <w:p w:rsidR="002E31FB" w:rsidRDefault="0010444F">
      <w:pPr>
        <w:pStyle w:val="FirstParagraph"/>
      </w:pPr>
      <w:r>
        <w:t xml:space="preserve">Building upon the IPS practice baseline, the author subsequently achieved a major breakthrough in independent intellectual property rights after years of deep research and engineering exploration, developing the </w:t>
      </w:r>
      <w:r>
        <w:rPr>
          <w:b/>
          <w:bCs/>
        </w:rPr>
        <w:t>IPC (Intelligent Planning and Control) Engine</w:t>
      </w:r>
      <w:r>
        <w:t xml:space="preserve"> with complete independent IP rights (surrounding the engine’s underlying topological data structure, evolutionary algorithm, and closed-loop control architecture, </w:t>
      </w:r>
      <w:r>
        <w:rPr>
          <w:b/>
          <w:bCs/>
        </w:rPr>
        <w:t>20 national invention patents have been filed, with 5 officially granted</w:t>
      </w:r>
      <w:r>
        <w:t xml:space="preserve">; core algorithms and physical blueprints have been open-sourced at </w:t>
      </w:r>
      <w:hyperlink r:id="rId7">
        <w:r>
          <w:rPr>
            <w:rStyle w:val="af"/>
          </w:rPr>
          <w:t>GitHub: Value-Chain-Physics</w:t>
        </w:r>
      </w:hyperlink>
      <w:r>
        <w:t xml:space="preserve"> [15]). The engine achieved a two-layer breakthrough leap in capabilities:</w:t>
      </w:r>
    </w:p>
    <w:p w:rsidR="002E31FB" w:rsidRDefault="0010444F">
      <w:pPr>
        <w:pStyle w:val="Compact"/>
        <w:numPr>
          <w:ilvl w:val="0"/>
          <w:numId w:val="3"/>
        </w:numPr>
      </w:pPr>
      <w:r>
        <w:rPr>
          <w:b/>
          <w:bCs/>
        </w:rPr>
        <w:t>First Layer (Business &amp; Decision Quality Breakthrough)</w:t>
      </w:r>
      <w:r>
        <w:t>: Through the ontological isomorphism between topological data models and business evolutionary algorithms, it completely solved the problem of distortion in constraint propagation and decision quality in complex systems;</w:t>
      </w:r>
    </w:p>
    <w:p w:rsidR="002E31FB" w:rsidRDefault="0010444F">
      <w:pPr>
        <w:pStyle w:val="Compact"/>
        <w:numPr>
          <w:ilvl w:val="0"/>
          <w:numId w:val="3"/>
        </w:numPr>
      </w:pPr>
      <w:r>
        <w:rPr>
          <w:b/>
          <w:bCs/>
        </w:rPr>
        <w:t>Second Layer (Compute &amp; Decision Speed Breakthrough)</w:t>
      </w:r>
      <w:r>
        <w:t xml:space="preserve">: Through underlying data structure algorithmic optimization and an in-memory computing engine, on a </w:t>
      </w:r>
      <w:r>
        <w:rPr>
          <w:b/>
          <w:bCs/>
        </w:rPr>
        <w:t>single personal PC computer alone</w:t>
      </w:r>
      <w:r>
        <w:t>, it achieved minute-level real-time solving of ultra-large-scale non-convex NP-Hard planning problems involving 500,000 discrete demands, 2,000,000 SKU-Site nodes, and 150,000 topological constraints.</w:t>
      </w:r>
    </w:p>
    <w:p w:rsidR="002E31FB" w:rsidRDefault="0010444F">
      <w:pPr>
        <w:pStyle w:val="FirstParagraph"/>
      </w:pPr>
      <w:r>
        <w:t>The profound significance of this breakthrough in physics and computational science lies in breaking the blind reliance of traditional AI black-box paradigms on “stacking compute power (Scaling Law)” and GPU clusters, proving the scientific superiority of dimensionality reduction and pruning from physical essence, with its technical originality protected by strict patent legal effect.</w:t>
      </w:r>
    </w:p>
    <w:p w:rsidR="002E31FB" w:rsidRDefault="0010444F">
      <w:pPr>
        <w:pStyle w:val="2"/>
      </w:pPr>
      <w:bookmarkStart w:id="7" w:name="Xcf9eec9491b9b4a1f4fbfcfbff26e81dcbffa79"/>
      <w:bookmarkEnd w:id="6"/>
      <w:r>
        <w:t>3. Cognitive Evolution from Practice to Theory</w:t>
      </w:r>
    </w:p>
    <w:p w:rsidR="002E31FB" w:rsidRDefault="0010444F">
      <w:pPr>
        <w:pStyle w:val="FirstParagraph"/>
      </w:pPr>
      <w:r>
        <w:t xml:space="preserve">The 18 years of battlefield practice and IPC computational breakthroughs profoundly revealed a physical fact: </w:t>
      </w:r>
      <w:r>
        <w:rPr>
          <w:b/>
          <w:bCs/>
        </w:rPr>
        <w:t>Lenovo’s 18-year IPS battlefield practice itself is an empirical governance validation of Open Complex Giant Systems (OCGS)</w:t>
      </w:r>
      <w:r>
        <w:t xml:space="preserve">. In real-world dynamic non-stationary environments, the system periodically completed the complete evolutionary cycle of “generation, survival, and evolution,” repeatedly crossing system dimensional leaps. The fundamental reason why the system could survive long-term is that it consistently maintained an </w:t>
      </w:r>
      <w:r>
        <w:rPr>
          <w:b/>
          <w:bCs/>
        </w:rPr>
        <w:lastRenderedPageBreak/>
        <w:t>autonomous decision rate of over 95% human-out-of-the-loop and high-frequency clos</w:t>
      </w:r>
      <w:r>
        <w:rPr>
          <w:b/>
          <w:bCs/>
        </w:rPr>
        <w:t>ed-loop computability</w:t>
      </w:r>
      <w:r>
        <w:t xml:space="preserve"> over 18 years.</w:t>
      </w:r>
    </w:p>
    <w:p w:rsidR="002E31FB" w:rsidRDefault="0010444F">
      <w:pPr>
        <w:pStyle w:val="a0"/>
      </w:pPr>
      <w:r>
        <w:t xml:space="preserve">Precisely because of such a solid industrial physical practice baseline, we can authoritatively extract this governance theory of Open Complex Giant Systems. We must thoroughly clarify to academia: </w:t>
      </w:r>
      <w:r>
        <w:rPr>
          <w:b/>
          <w:bCs/>
        </w:rPr>
        <w:t>The formation path of this theory is inductive (extracted from supply chain physical practice), but the expression and validation path of the theory is deductive (starting from the universal OCGS perspective, possessing cross-domain structural isomorphism)</w:t>
      </w:r>
      <w:r>
        <w:t xml:space="preserve"> [1-4]. Enterprise governance and supply chain management represent a fully validated physical instance of this theory in industry. The eight qualitative deductions of this theoretical framework are qualitative, not quantitative. The core propositions answ</w:t>
      </w:r>
      <w:r>
        <w:t>ered are:</w:t>
      </w:r>
    </w:p>
    <w:p w:rsidR="002E31FB" w:rsidRDefault="0010444F">
      <w:pPr>
        <w:pStyle w:val="Compact"/>
        <w:numPr>
          <w:ilvl w:val="0"/>
          <w:numId w:val="4"/>
        </w:numPr>
      </w:pPr>
      <w:r>
        <w:t xml:space="preserve">How to </w:t>
      </w:r>
      <w:r>
        <w:rPr>
          <w:b/>
          <w:bCs/>
        </w:rPr>
        <w:t>qualitatively design</w:t>
      </w:r>
      <w:r>
        <w:t xml:space="preserve"> a governance architecture in physical laws and cybernetics to achieve the generation, survival, and evolution of Open Complex Giant Systems?</w:t>
      </w:r>
    </w:p>
    <w:p w:rsidR="002E31FB" w:rsidRDefault="0010444F">
      <w:pPr>
        <w:pStyle w:val="Compact"/>
        <w:numPr>
          <w:ilvl w:val="0"/>
          <w:numId w:val="4"/>
        </w:numPr>
      </w:pPr>
      <w:r>
        <w:t xml:space="preserve">How to </w:t>
      </w:r>
      <w:r>
        <w:rPr>
          <w:b/>
          <w:bCs/>
        </w:rPr>
        <w:t>qualitatively prove</w:t>
      </w:r>
      <w:r>
        <w:t xml:space="preserve"> structurally that through the ontological isomorphism between topological data models and evolutionary algorithms (</w:t>
      </w:r>
      <m:oMath>
        <m:r>
          <m:rPr>
            <m:sty m:val="bi"/>
          </m:rPr>
          <w:rPr>
            <w:rFonts w:ascii="Cambria Math" w:hAnsi="Cambria Math"/>
          </w:rPr>
          <m:t>Scheme</m:t>
        </m:r>
        <m:r>
          <m:rPr>
            <m:sty m:val="p"/>
          </m:rPr>
          <w:rPr>
            <w:rFonts w:ascii="Cambria Math" w:hAnsi="Cambria Math"/>
          </w:rPr>
          <m:t>≡</m:t>
        </m:r>
        <m:r>
          <m:rPr>
            <m:sty m:val="bi"/>
          </m:rPr>
          <w:rPr>
            <w:rFonts w:ascii="Cambria Math" w:hAnsi="Cambria Math"/>
          </w:rPr>
          <m:t>Business</m:t>
        </m:r>
        <m:r>
          <m:rPr>
            <m:sty m:val="b"/>
          </m:rPr>
          <w:rPr>
            <w:rFonts w:ascii="Cambria Math" w:hAnsi="Cambria Math"/>
          </w:rPr>
          <m:t>_</m:t>
        </m:r>
        <m:r>
          <m:rPr>
            <m:sty m:val="bi"/>
          </m:rPr>
          <w:rPr>
            <w:rFonts w:ascii="Cambria Math" w:hAnsi="Cambria Math"/>
          </w:rPr>
          <m:t>Itself</m:t>
        </m:r>
      </m:oMath>
      <w:r>
        <w:t xml:space="preserve">), high-dimensional complex systems can guarantee </w:t>
      </w:r>
      <w:r>
        <w:rPr>
          <w:b/>
          <w:bCs/>
        </w:rPr>
        <w:t>closed-loop computability and state convergence</w:t>
      </w:r>
      <w:r>
        <w:t xml:space="preserve"> within physical computational boundaries?</w:t>
      </w:r>
    </w:p>
    <w:p w:rsidR="002E31FB" w:rsidRDefault="0010444F">
      <w:pPr>
        <w:pStyle w:val="FirstParagraph"/>
      </w:pPr>
      <w:r>
        <w:t>Its cognitive elevation chain is as follows:</w:t>
      </w:r>
    </w:p>
    <w:p w:rsidR="002E31FB" w:rsidRDefault="0010444F">
      <w:pPr>
        <w:pStyle w:val="a0"/>
      </w:pPr>
      <m:oMathPara>
        <m:oMathParaPr>
          <m:jc m:val="center"/>
        </m:oMathParaPr>
        <m:oMath>
          <m:r>
            <m:rPr>
              <m:nor/>
            </m:rPr>
            <m:t>Industrial Empirical Fact (Physical Fact)</m:t>
          </m:r>
          <m:limUpp>
            <m:limUppPr>
              <m:ctrlPr>
                <w:rPr>
                  <w:rFonts w:ascii="Cambria Math" w:hAnsi="Cambria Math"/>
                </w:rPr>
              </m:ctrlPr>
            </m:limUppPr>
            <m:e>
              <m:r>
                <m:rPr>
                  <m:sty m:val="p"/>
                </m:rPr>
                <w:rPr>
                  <w:rFonts w:ascii="Cambria Math" w:hAnsi="Cambria Math"/>
                </w:rPr>
                <m:t>→</m:t>
              </m:r>
            </m:e>
            <m:lim>
              <m:r>
                <m:rPr>
                  <m:nor/>
                </m:rPr>
                <m:t>Pruning &amp;Isomorphism</m:t>
              </m:r>
            </m:lim>
          </m:limUpp>
          <m:r>
            <m:rPr>
              <m:nor/>
            </m:rPr>
            <m:t>Non-IID First Principle</m:t>
          </m:r>
          <m:limUpp>
            <m:limUppPr>
              <m:ctrlPr>
                <w:rPr>
                  <w:rFonts w:ascii="Cambria Math" w:hAnsi="Cambria Math"/>
                </w:rPr>
              </m:ctrlPr>
            </m:limUppPr>
            <m:e>
              <m:r>
                <m:rPr>
                  <m:sty m:val="p"/>
                </m:rPr>
                <w:rPr>
                  <w:rFonts w:ascii="Cambria Math" w:hAnsi="Cambria Math"/>
                </w:rPr>
                <m:t>→</m:t>
              </m:r>
            </m:e>
            <m:lim>
              <m:r>
                <m:rPr>
                  <m:nor/>
                </m:rPr>
                <m:t>Axiomatic System</m:t>
              </m:r>
            </m:lim>
          </m:limUpp>
          <m:r>
            <m:rPr>
              <m:nor/>
            </m:rPr>
            <m:t>Qian’s OCGS Governance Theorem</m:t>
          </m:r>
        </m:oMath>
      </m:oMathPara>
    </w:p>
    <w:p w:rsidR="002E31FB" w:rsidRDefault="0010444F">
      <w:r>
        <w:pict>
          <v:rect id="_x0000_i1027" style="width:0;height:1.5pt" o:hralign="center" o:hrstd="t" o:hr="t"/>
        </w:pict>
      </w:r>
    </w:p>
    <w:p w:rsidR="002E31FB" w:rsidRDefault="0010444F">
      <w:pPr>
        <w:pStyle w:val="1"/>
      </w:pPr>
      <w:bookmarkStart w:id="8" w:name="Xec743d372520baf93bb62a50619cbbc515e4815"/>
      <w:bookmarkEnd w:id="7"/>
      <w:bookmarkEnd w:id="2"/>
      <w:r>
        <w:t>Part II: Non-IID First Principles &amp; Qualitative Deductions</w:t>
      </w:r>
    </w:p>
    <w:p w:rsidR="002E31FB" w:rsidRDefault="0010444F">
      <w:pPr>
        <w:pStyle w:val="2"/>
      </w:pPr>
      <w:bookmarkStart w:id="9" w:name="first-principle-non-iid"/>
      <w:r>
        <w:t>4. First Principle: Non-IID</w:t>
      </w:r>
    </w:p>
    <w:p w:rsidR="002E31FB" w:rsidRDefault="0010444F">
      <w:pPr>
        <w:pStyle w:val="FirstParagraph"/>
      </w:pPr>
      <w:r>
        <w:t xml:space="preserve">The physical essence of Open Complex Giant Systems is </w:t>
      </w:r>
      <w:r>
        <w:rPr>
          <w:b/>
          <w:bCs/>
        </w:rPr>
        <w:t>Non-Independent and Non-Identically Distributed (Non-IID)</w:t>
      </w:r>
      <w:r>
        <w:t xml:space="preserve"> </w:t>
      </w:r>
      <w:r>
        <w:t>[4] (Prof. Longbing Cao pioneered the systematic formulation of Non-IID theoretical framework in AI and Data Science [3,4]):</w:t>
      </w:r>
    </w:p>
    <w:p w:rsidR="002E31FB" w:rsidRDefault="0010444F">
      <w:pPr>
        <w:pStyle w:val="Compact"/>
        <w:numPr>
          <w:ilvl w:val="0"/>
          <w:numId w:val="5"/>
        </w:numPr>
      </w:pPr>
      <w:r>
        <w:rPr>
          <w:b/>
          <w:bCs/>
        </w:rPr>
        <w:t>Non-Independent</w:t>
      </w:r>
      <w:r>
        <w:t>: System elements are strongly coupled; micro-perturbations trigger cascading phase transitions through strong non-linear networks;</w:t>
      </w:r>
    </w:p>
    <w:p w:rsidR="002E31FB" w:rsidRDefault="0010444F">
      <w:pPr>
        <w:pStyle w:val="Compact"/>
        <w:numPr>
          <w:ilvl w:val="0"/>
          <w:numId w:val="5"/>
        </w:numPr>
      </w:pPr>
      <w:r>
        <w:rPr>
          <w:b/>
          <w:bCs/>
        </w:rPr>
        <w:lastRenderedPageBreak/>
        <w:t>Non-Identically Distributed</w:t>
      </w:r>
      <w:r>
        <w:t>: Spatiotemporal evolution causes continuous probability distribution drift in phase space, presenting severe dynamic non-stationarity (Non-Stationarity).</w:t>
      </w:r>
    </w:p>
    <w:p w:rsidR="002E31FB" w:rsidRDefault="0010444F">
      <w:pPr>
        <w:pStyle w:val="2"/>
      </w:pPr>
      <w:bookmarkStart w:id="10" w:name="X66b884d9a41ca866d99ec4442ff494bc62fd272"/>
      <w:bookmarkEnd w:id="9"/>
      <w:r>
        <w:t xml:space="preserve">5. Eight Qualitative Deductions (Teleology </w:t>
      </w:r>
      <m:oMath>
        <m:r>
          <m:rPr>
            <m:sty m:val="b"/>
          </m:rPr>
          <w:rPr>
            <w:rFonts w:ascii="Cambria Math" w:hAnsi="Cambria Math"/>
          </w:rPr>
          <m:t>→</m:t>
        </m:r>
      </m:oMath>
      <w:r>
        <w:t xml:space="preserve"> Evolution)</w:t>
      </w:r>
    </w:p>
    <w:p w:rsidR="002E31FB" w:rsidRDefault="0010444F">
      <w:pPr>
        <w:pStyle w:val="FirstParagraph"/>
      </w:pPr>
      <w:r>
        <w:t>Explicit Statement: The eight deductions are qualitative; the paper cites classical theorems (such as Wiener’s cybernetic boundary, Arrow’s impossibility theorem, Gödel’s incompleteness theorem, etc.) as physical inevitability arguments.</w:t>
      </w:r>
    </w:p>
    <w:p w:rsidR="002E31FB" w:rsidRDefault="0010444F">
      <w:pPr>
        <w:pStyle w:val="3"/>
      </w:pPr>
      <w:bookmarkStart w:id="11" w:name="X45a2c243291f4abe747efc60cdb6aa69b3b58e6"/>
      <w:r>
        <w:t>5.1 Deduction I (Teleology): Global Governance, Eliminating “Vector Cancellation”</w:t>
      </w:r>
    </w:p>
    <w:p w:rsidR="002E31FB" w:rsidRDefault="0010444F">
      <w:pPr>
        <w:pStyle w:val="FirstParagraph"/>
      </w:pPr>
      <w:r>
        <w:t>In Non-IID systems, lacking global governance, local optimal decisions of subsystems generate vector cancellation in vector space:</w:t>
      </w:r>
    </w:p>
    <w:p w:rsidR="002E31FB" w:rsidRDefault="0010444F">
      <w:pPr>
        <w:pStyle w:val="a0"/>
      </w:pPr>
      <m:oMathPara>
        <m:oMathParaPr>
          <m:jc m:val="center"/>
        </m:oMathParaPr>
        <m:oMath>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r>
            <m:rPr>
              <m:sty m:val="b"/>
            </m:rPr>
            <w:rPr>
              <w:rFonts w:ascii="Cambria Math" w:hAnsi="Cambria Math"/>
            </w:rPr>
            <m:t>0</m:t>
          </m:r>
          <m:r>
            <w:rPr>
              <w:rFonts w:ascii="Cambria Math" w:hAnsi="Cambria Math"/>
            </w:rPr>
            <m:t> </m:t>
          </m:r>
          <m:r>
            <m:rPr>
              <m:sty m:val="p"/>
            </m:rPr>
            <w:rPr>
              <w:rFonts w:ascii="Cambria Math" w:hAnsi="Cambria Math"/>
            </w:rPr>
            <m:t>(</m:t>
          </m:r>
          <m:r>
            <m:rPr>
              <m:nor/>
            </m:rPr>
            <m:t>Local Optimality Causes Global Invalidation</m:t>
          </m:r>
          <m:r>
            <m:rPr>
              <m:sty m:val="p"/>
            </m:rPr>
            <w:rPr>
              <w:rFonts w:ascii="Cambria Math" w:hAnsi="Cambria Math"/>
            </w:rPr>
            <m:t>)</m:t>
          </m:r>
        </m:oMath>
      </m:oMathPara>
    </w:p>
    <w:p w:rsidR="002E31FB" w:rsidRDefault="0010444F">
      <w:pPr>
        <w:pStyle w:val="FirstParagraph"/>
      </w:pPr>
      <w:r>
        <w:rPr>
          <w:b/>
          <w:bCs/>
        </w:rPr>
        <w:t>Core Deduction</w:t>
      </w:r>
      <w:r>
        <w:t>: The essence of global governance is to forcibly align objective functions globally, eliminating interference cancellation caused by local decisions, thereby maximizing total system synergy [1].</w:t>
      </w:r>
    </w:p>
    <w:p w:rsidR="002E31FB" w:rsidRDefault="0010444F">
      <w:pPr>
        <w:pStyle w:val="3"/>
      </w:pPr>
      <w:bookmarkStart w:id="12" w:name="Xe7b3285638e6aa0d94d346337a312e1e2a71f9d"/>
      <w:bookmarkEnd w:id="11"/>
      <w:r>
        <w:t>5.2 Deduction II (Ontology/Essence): Complexity Explosion and Physical Computational Boundaries</w:t>
      </w:r>
    </w:p>
    <w:p w:rsidR="002E31FB" w:rsidRDefault="0010444F">
      <w:pPr>
        <w:pStyle w:val="FirstParagraph"/>
      </w:pPr>
      <w:r>
        <w:t>Due to strong coupling and temporal constraints between nodes, the combination of states in phase space explodes super-factorially:</w:t>
      </w:r>
    </w:p>
    <w:p w:rsidR="002E31FB" w:rsidRDefault="0010444F">
      <w:pPr>
        <w:pStyle w:val="a0"/>
      </w:pPr>
      <m:oMathPara>
        <m:oMathParaPr>
          <m:jc m:val="center"/>
        </m:oMathParaPr>
        <m:oMath>
          <m:r>
            <m:rPr>
              <m:sty m:val="p"/>
            </m:rPr>
            <w:rPr>
              <w:rFonts w:ascii="Cambria Math" w:hAnsi="Cambria Math"/>
            </w:rPr>
            <m:t>|Ω|=</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m:oMathPara>
    </w:p>
    <w:p w:rsidR="002E31FB" w:rsidRDefault="0010444F">
      <w:pPr>
        <w:pStyle w:val="FirstParagraph"/>
      </w:pPr>
      <w:r>
        <w:t>Blindly relying on stacking compute power (Scaling Law) to exhaustively search state spaces hits physical computational boundaries. The IPC engine proves that only through topological dimensionality reduction and algebraic pruning can precise solving be achieved under finite physical compute [13].</w:t>
      </w:r>
    </w:p>
    <w:p w:rsidR="002E31FB" w:rsidRDefault="0010444F">
      <w:pPr>
        <w:pStyle w:val="3"/>
      </w:pPr>
      <w:bookmarkStart w:id="13" w:name="Xfcee6b783f61662f4025de908ebfd56304ef342"/>
      <w:bookmarkEnd w:id="12"/>
      <w:r>
        <w:t>5.3 Deduction III (Methodology): Ontological Isomorphism — “Topological Data Model and Evolutionary Algorithm IS the Business Itself”</w:t>
      </w:r>
    </w:p>
    <w:p w:rsidR="002E31FB" w:rsidRDefault="0010444F">
      <w:pPr>
        <w:pStyle w:val="FirstParagraph"/>
      </w:pPr>
      <w:r>
        <w:t>From the perspective of system and complexity science, traditional paradigms that sever “business requirements,” “IT software,” and “governance algorithms” become physically invalid:</w:t>
      </w:r>
    </w:p>
    <w:p w:rsidR="002E31FB" w:rsidRDefault="0010444F">
      <w:pPr>
        <w:pStyle w:val="a0"/>
      </w:pPr>
      <m:oMathPara>
        <m:oMathParaPr>
          <m:jc m:val="center"/>
        </m:oMathParaPr>
        <m:oMath>
          <m:r>
            <m:rPr>
              <m:sty m:val="bi"/>
            </m:rPr>
            <w:rPr>
              <w:rFonts w:ascii="Cambria Math" w:hAnsi="Cambria Math"/>
            </w:rPr>
            <m:t>Scheme</m:t>
          </m:r>
          <m:r>
            <m:rPr>
              <m:sty m:val="p"/>
            </m:rPr>
            <w:rPr>
              <w:rFonts w:ascii="Cambria Math" w:hAnsi="Cambria Math"/>
            </w:rPr>
            <m:t>≡(</m:t>
          </m:r>
          <m:r>
            <m:rPr>
              <m:scr m:val="script"/>
              <m:sty m:val="p"/>
            </m:rPr>
            <w:rPr>
              <w:rFonts w:ascii="Cambria Math" w:hAnsi="Cambria Math"/>
            </w:rPr>
            <m:t>D</m:t>
          </m:r>
          <m:r>
            <m:rPr>
              <m:sty m:val="p"/>
            </m:rPr>
            <w:rPr>
              <w:rFonts w:ascii="Cambria Math" w:hAnsi="Cambria Math"/>
            </w:rPr>
            <m:t>,</m:t>
          </m:r>
          <m:r>
            <m:rPr>
              <m:scr m:val="script"/>
              <m:sty m:val="p"/>
            </m:rPr>
            <w:rPr>
              <w:rFonts w:ascii="Cambria Math" w:hAnsi="Cambria Math"/>
            </w:rPr>
            <m:t>A</m:t>
          </m:r>
          <m:r>
            <m:rPr>
              <m:sty m:val="p"/>
            </m:rPr>
            <w:rPr>
              <w:rFonts w:ascii="Cambria Math" w:hAnsi="Cambria Math"/>
            </w:rPr>
            <m:t>)≡</m:t>
          </m:r>
          <m:r>
            <m:rPr>
              <m:sty m:val="bi"/>
            </m:rPr>
            <w:rPr>
              <w:rFonts w:ascii="Cambria Math" w:hAnsi="Cambria Math"/>
            </w:rPr>
            <m:t>Business</m:t>
          </m:r>
          <m:r>
            <m:rPr>
              <m:sty m:val="b"/>
            </m:rPr>
            <w:rPr>
              <w:rFonts w:ascii="Cambria Math" w:hAnsi="Cambria Math"/>
            </w:rPr>
            <m:t>_</m:t>
          </m:r>
          <m:r>
            <m:rPr>
              <m:sty m:val="bi"/>
            </m:rPr>
            <w:rPr>
              <w:rFonts w:ascii="Cambria Math" w:hAnsi="Cambria Math"/>
            </w:rPr>
            <m:t>Itself</m:t>
          </m:r>
        </m:oMath>
      </m:oMathPara>
    </w:p>
    <w:p w:rsidR="002E31FB" w:rsidRDefault="0010444F">
      <w:pPr>
        <w:pStyle w:val="FirstParagraph"/>
      </w:pPr>
      <w:r>
        <w:lastRenderedPageBreak/>
        <w:t xml:space="preserve">The topological data model </w:t>
      </w:r>
      <m:oMath>
        <m:r>
          <m:rPr>
            <m:scr m:val="script"/>
            <m:sty m:val="p"/>
          </m:rPr>
          <w:rPr>
            <w:rFonts w:ascii="Cambria Math" w:hAnsi="Cambria Math"/>
          </w:rPr>
          <m:t>D</m:t>
        </m:r>
      </m:oMath>
      <w:r>
        <w:t xml:space="preserve"> and evolutionary algorithm </w:t>
      </w:r>
      <m:oMath>
        <m:r>
          <m:rPr>
            <m:scr m:val="script"/>
            <m:sty m:val="p"/>
          </m:rPr>
          <w:rPr>
            <w:rFonts w:ascii="Cambria Math" w:hAnsi="Cambria Math"/>
          </w:rPr>
          <m:t>A</m:t>
        </m:r>
      </m:oMath>
      <w:r>
        <w:t xml:space="preserve"> are the physical representation of the governance system itself. The traditional “business specifies requirements, IT implements software” separation paradigm inevitably fails in Non-IID phase space because the requirement translation process itself constitutes a dimensional fault line in physical phase space.</w:t>
      </w:r>
    </w:p>
    <w:p w:rsidR="002E31FB" w:rsidRDefault="0010444F">
      <w:pPr>
        <w:pStyle w:val="3"/>
      </w:pPr>
      <w:bookmarkStart w:id="14" w:name="X6aff85403ef95061407556bd3d3487d409a94e7"/>
      <w:bookmarkEnd w:id="13"/>
      <w:r>
        <w:t>5.4 Deduction IV (Capability): Metasynthetic Wisdom, Universal Coverage, and Carbon-Silicon Capability Compensation</w:t>
      </w:r>
    </w:p>
    <w:p w:rsidR="002E31FB" w:rsidRDefault="0010444F">
      <w:pPr>
        <w:pStyle w:val="FirstParagraph"/>
      </w:pPr>
      <w:r>
        <w:t>Facing high-dimensional complex phase spaces, carbon-based human experts exhibit significant reaction delays (seconds to minutes), unable to respond to high-frequency micro-phase transitions; silicon-based computing possesses millisecond-level compensation advantages.</w:t>
      </w:r>
    </w:p>
    <w:p w:rsidR="002E31FB" w:rsidRDefault="0010444F">
      <w:pPr>
        <w:pStyle w:val="a0"/>
      </w:pPr>
      <w:r>
        <w:t xml:space="preserve">The full-domain capability of the system is governed by “Metasynthetic Wisdom” </w:t>
      </w:r>
      <w:r>
        <w:t>defined by Qian Xuesen [1-3]: silicon engines handle millisecond-level high-frequency rigid inference, while carbon experts handle metacognitive boundary definition during extreme anomalies, forming a carbon-silicon complementary compensation system.</w:t>
      </w:r>
    </w:p>
    <w:p w:rsidR="002E31FB" w:rsidRDefault="0010444F">
      <w:pPr>
        <w:pStyle w:val="3"/>
      </w:pPr>
      <w:bookmarkStart w:id="15" w:name="X34b531a8b08e8dce1004350d81b05df927a6747"/>
      <w:bookmarkEnd w:id="14"/>
      <w:r>
        <w:t>5.5 Deduction V (Mechanism): Dual-State Synergy, Department of Overall Design, and HWME Hall Three Elements</w:t>
      </w:r>
    </w:p>
    <w:p w:rsidR="002E31FB" w:rsidRDefault="0010444F">
      <w:pPr>
        <w:pStyle w:val="FirstParagraph"/>
      </w:pPr>
      <w:r>
        <w:t xml:space="preserve">Based on </w:t>
      </w:r>
      <w:r>
        <w:rPr>
          <w:b/>
          <w:bCs/>
        </w:rPr>
        <w:t>Arrow’s Impossibility Theorem</w:t>
      </w:r>
      <w:r>
        <w:t xml:space="preserve"> [8] (under non-homogeneous preferences, multi-party free gaming cannot generate a global optimum), the system must establish the </w:t>
      </w:r>
      <w:r>
        <w:rPr>
          <w:b/>
          <w:bCs/>
        </w:rPr>
        <w:t>Department of Overall Design</w:t>
      </w:r>
      <w:r>
        <w:t xml:space="preserve"> and the </w:t>
      </w:r>
      <w:r>
        <w:rPr>
          <w:b/>
          <w:bCs/>
        </w:rPr>
        <w:t>Hall of Workshop for Metasynthetic Engineering (HWME)</w:t>
      </w:r>
      <w:r>
        <w:t xml:space="preserve"> advocated by Qian Xuesen [1-3], surpassing gaming deadlocks through human-machine synergy. The HWME hall embodies the synergy of three elements [1-3]: Expert System (Chief Designer / Metacognitive Operator </w:t>
      </w:r>
      <m:oMath>
        <m:r>
          <m:rPr>
            <m:sty m:val="p"/>
          </m:rPr>
          <w:rPr>
            <w:rFonts w:ascii="Cambria Math" w:hAnsi="Cambria Math"/>
          </w:rPr>
          <m:t>Φ</m:t>
        </m:r>
      </m:oMath>
      <w:r>
        <w:t>), Machine System (Silicon IPC Engine high-frequency compensation), and Knowledge System (Topological data model &amp; evolutionary algorithm).</w:t>
      </w:r>
    </w:p>
    <w:p w:rsidR="002E31FB" w:rsidRDefault="0010444F">
      <w:pPr>
        <w:pStyle w:val="3"/>
      </w:pPr>
      <w:bookmarkStart w:id="16" w:name="Xf2fa58b11c5985862b74a73333735f57513fdd7"/>
      <w:bookmarkEnd w:id="15"/>
      <w:r>
        <w:t>5.6 Deduction VI (Pathway): Strategic Top-Down, Capability Bottom-Up</w:t>
      </w:r>
    </w:p>
    <w:p w:rsidR="002E31FB" w:rsidRDefault="0010444F">
      <w:pPr>
        <w:pStyle w:val="FirstParagraph"/>
      </w:pPr>
      <w:r>
        <w:t xml:space="preserve">Cybernetics’ </w:t>
      </w:r>
      <w:r>
        <w:rPr>
          <w:b/>
          <w:bCs/>
        </w:rPr>
        <w:t>Wiener’s Cybernetic Boundary Constraint</w:t>
      </w:r>
      <w:r>
        <w:t xml:space="preserve"> [5,6] indicates that the controllable dimensions of a system are bounded by the observable and rewritable dimensions of underlying execution grains (</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t>). Unobservability refers not only to missing data, but also to opaque underlying states and feedback delays. Therefore, governance construction must follow the dual pathway of “Strategic Top-Down Governance, Capability Bottom-Up Grounding.”</w:t>
      </w:r>
    </w:p>
    <w:p w:rsidR="002E31FB" w:rsidRDefault="0010444F">
      <w:pPr>
        <w:pStyle w:val="aa"/>
      </w:pPr>
      <w:r>
        <w:rPr>
          <w:b/>
          <w:bCs/>
        </w:rPr>
        <w:t>Note [1]</w:t>
      </w:r>
      <w:r>
        <w:t>: Cybernetics founder Norbert Wiener pointed out that the effective control dimension of a control system is bounded by its observable dimension, a direct corollary of Ashby’s Law of Requisite Variety [5,6].</w:t>
      </w:r>
    </w:p>
    <w:p w:rsidR="002E31FB" w:rsidRDefault="0010444F">
      <w:pPr>
        <w:pStyle w:val="3"/>
      </w:pPr>
      <w:bookmarkStart w:id="17" w:name="Xeb54dcda0560fa21587efcaf991539934ff34aa"/>
      <w:bookmarkEnd w:id="16"/>
      <w:r>
        <w:lastRenderedPageBreak/>
        <w:t xml:space="preserve">5.7 Deduction VII (Power/Dynamics): Scalar Product of Strategic Will and Physical Logic Vector </w:t>
      </w:r>
      <m:oMath>
        <m:r>
          <m:rPr>
            <m:sty m:val="bi"/>
          </m:rPr>
          <w:rPr>
            <w:rFonts w:ascii="Cambria Math" w:hAnsi="Cambria Math"/>
          </w:rPr>
          <m:t>W</m:t>
        </m:r>
        <m:r>
          <m:rPr>
            <m:sty m:val="b"/>
          </m:rPr>
          <w:rPr>
            <w:rFonts w:ascii="Cambria Math" w:hAnsi="Cambria Math"/>
          </w:rPr>
          <m:t>=</m:t>
        </m:r>
        <m:r>
          <m:rPr>
            <m:sty m:val="bi"/>
          </m:rPr>
          <w:rPr>
            <w:rFonts w:ascii="Cambria Math" w:hAnsi="Cambria Math"/>
          </w:rPr>
          <m:t>F</m:t>
        </m:r>
        <m:r>
          <m:rPr>
            <m:sty m:val="b"/>
          </m:rPr>
          <w:rPr>
            <w:rFonts w:ascii="Cambria Math" w:hAnsi="Cambria Math"/>
          </w:rPr>
          <m:t>⋅</m:t>
        </m:r>
        <m:r>
          <m:rPr>
            <m:sty m:val="bi"/>
          </m:rPr>
          <w:rPr>
            <w:rFonts w:ascii="Cambria Math" w:hAnsi="Cambria Math"/>
          </w:rPr>
          <m:t>S</m:t>
        </m:r>
      </m:oMath>
    </w:p>
    <w:p w:rsidR="002E31FB" w:rsidRDefault="0010444F">
      <w:pPr>
        <w:pStyle w:val="FirstParagraph"/>
      </w:pPr>
      <w:r>
        <w:t xml:space="preserve">The effectiveness of governance work depends on the scalar product of the management strategic will vector </w:t>
      </w:r>
      <m:oMath>
        <m:r>
          <m:rPr>
            <m:sty m:val="bi"/>
          </m:rPr>
          <w:rPr>
            <w:rFonts w:ascii="Cambria Math" w:hAnsi="Cambria Math"/>
          </w:rPr>
          <m:t>F</m:t>
        </m:r>
      </m:oMath>
      <w:r>
        <w:t xml:space="preserve"> and the physical evolution logic vector </w:t>
      </w:r>
      <m:oMath>
        <m:r>
          <m:rPr>
            <m:sty m:val="bi"/>
          </m:rPr>
          <w:rPr>
            <w:rFonts w:ascii="Cambria Math" w:hAnsi="Cambria Math"/>
          </w:rPr>
          <m:t>S</m:t>
        </m:r>
      </m:oMath>
      <w:r>
        <w:t>:</w:t>
      </w:r>
    </w:p>
    <w:p w:rsidR="002E31FB" w:rsidRDefault="0010444F">
      <w:pPr>
        <w:pStyle w:val="a0"/>
      </w:pPr>
      <m:oMathPara>
        <m:oMathParaPr>
          <m:jc m:val="center"/>
        </m:oMathParaPr>
        <m:oMath>
          <m:r>
            <w:rPr>
              <w:rFonts w:ascii="Cambria Math" w:hAnsi="Cambria Math"/>
            </w:rPr>
            <m:t>W</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S</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S</m:t>
          </m:r>
          <m:r>
            <m:rPr>
              <m:sty m:val="p"/>
            </m:rPr>
            <w:rPr>
              <w:rFonts w:ascii="Cambria Math" w:hAnsi="Cambria Math"/>
            </w:rPr>
            <m:t>∥cos</m:t>
          </m:r>
          <m:r>
            <w:rPr>
              <w:rFonts w:ascii="Cambria Math" w:hAnsi="Cambria Math"/>
            </w:rPr>
            <m:t>θ</m:t>
          </m:r>
        </m:oMath>
      </m:oMathPara>
    </w:p>
    <w:p w:rsidR="002E31FB" w:rsidRDefault="0010444F">
      <w:pPr>
        <w:pStyle w:val="FirstParagraph"/>
      </w:pPr>
      <w:r>
        <w:t xml:space="preserve">When the mismatch angle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management work is completely converted into internal friction waste heat; only by aligning the mismatch angle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can maximum effective work be accomplished.</w:t>
      </w:r>
    </w:p>
    <w:p w:rsidR="002E31FB" w:rsidRDefault="0010444F">
      <w:pPr>
        <w:pStyle w:val="3"/>
      </w:pPr>
      <w:bookmarkStart w:id="18" w:name="Xbed6bfb8438808c38bea202a5637f8d94f83562"/>
      <w:bookmarkEnd w:id="17"/>
      <w:r>
        <w:t xml:space="preserve">5.8 Deduction VIII (Evolution): Gödel/Turing Boundaries and Metacognitive Operator </w:t>
      </w:r>
      <m:oMath>
        <m:r>
          <m:rPr>
            <m:sty m:val="b"/>
          </m:rPr>
          <w:rPr>
            <w:rFonts w:ascii="Cambria Math" w:hAnsi="Cambria Math"/>
          </w:rPr>
          <m:t>Φ</m:t>
        </m:r>
      </m:oMath>
    </w:p>
    <w:p w:rsidR="002E31FB" w:rsidRDefault="0010444F">
      <w:pPr>
        <w:pStyle w:val="FirstParagraph"/>
      </w:pPr>
      <w:r>
        <w:rPr>
          <w:b/>
          <w:bCs/>
        </w:rPr>
        <w:t>Gödel’s Incompleteness Theorem</w:t>
      </w:r>
      <w:r>
        <w:t xml:space="preserve"> [9] and </w:t>
      </w:r>
      <w:r>
        <w:rPr>
          <w:b/>
          <w:bCs/>
        </w:rPr>
        <w:t>Turing’s Halting Problem</w:t>
      </w:r>
      <w:r>
        <w:t xml:space="preserve"> [10] prove that any finite axiomatic closed system cannot self-prove completeness, and will fail to self-heal when facing extreme phase transitions in phase space. The system must introduce a </w:t>
      </w:r>
      <w:r>
        <w:rPr>
          <w:b/>
          <w:bCs/>
        </w:rPr>
        <w:t xml:space="preserve">Metacognitive Operator </w:t>
      </w:r>
      <m:oMath>
        <m:r>
          <m:rPr>
            <m:sty m:val="p"/>
          </m:rPr>
          <w:rPr>
            <w:rFonts w:ascii="Cambria Math" w:hAnsi="Cambria Math"/>
          </w:rPr>
          <m:t>Φ:</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Sub>
      </m:oMath>
      <w:r>
        <w:t xml:space="preserve"> [10] transcending underlying code to drive dynamic iteration and self-evolution of rule systems via axiomatic reconstruction.</w:t>
      </w:r>
    </w:p>
    <w:p w:rsidR="002E31FB" w:rsidRDefault="0010444F">
      <w:r>
        <w:pict>
          <v:rect id="_x0000_i1028" style="width:0;height:1.5pt" o:hralign="center" o:hrstd="t" o:hr="t"/>
        </w:pict>
      </w:r>
    </w:p>
    <w:p w:rsidR="002E31FB" w:rsidRDefault="0010444F">
      <w:pPr>
        <w:pStyle w:val="1"/>
      </w:pPr>
      <w:bookmarkStart w:id="19" w:name="X50eac36c92591c3b985823140b043d6f8469196"/>
      <w:bookmarkEnd w:id="18"/>
      <w:bookmarkEnd w:id="10"/>
      <w:bookmarkEnd w:id="8"/>
      <w:r>
        <w:t>Part III: Formal Proof &amp; Computability Guarantee</w:t>
      </w:r>
    </w:p>
    <w:p w:rsidR="002E31FB" w:rsidRDefault="0010444F">
      <w:pPr>
        <w:pStyle w:val="FirstParagraph"/>
      </w:pPr>
      <w:r>
        <w:t>Explicit Statement: The formal proof is the author’s self-contained mathematical framework designed to provide strict computability guarantees for dimensionality reduction pruning, in-boundary optimal uniqueness, and finite-time closed-loop convergence in high-dimensional non-convex phase spaces [11,14].</w:t>
      </w:r>
    </w:p>
    <w:p w:rsidR="002E31FB" w:rsidRDefault="0010444F">
      <w:pPr>
        <w:pStyle w:val="2"/>
      </w:pPr>
      <w:bookmarkStart w:id="20" w:name="X9596e9c130b6214863386a7028cdf84b9e7c66f"/>
      <w:r>
        <w:t>6. 5D Topological Manifold and Rigid Manifold Orthogonal Pruning Theorem</w:t>
      </w:r>
    </w:p>
    <w:p w:rsidR="002E31FB" w:rsidRDefault="0010444F">
      <w:pPr>
        <w:pStyle w:val="FirstParagraph"/>
      </w:pPr>
      <w:r>
        <w:t xml:space="preserve">The observer’s prior boundary operator </w:t>
      </w:r>
      <m:oMath>
        <m:r>
          <m:rPr>
            <m:sty m:val="p"/>
          </m:rPr>
          <w:rPr>
            <w:rFonts w:ascii="Cambria Math" w:hAnsi="Cambria Math"/>
          </w:rPr>
          <m:t>Π:Ξ→Ω</m:t>
        </m:r>
      </m:oMath>
      <w:r>
        <w:t xml:space="preserve"> projects the infinite unpartitioned background phase space </w:t>
      </w:r>
      <m:oMath>
        <m:r>
          <m:rPr>
            <m:sty m:val="p"/>
          </m:rPr>
          <w:rPr>
            <w:rFonts w:ascii="Cambria Math" w:hAnsi="Cambria Math"/>
          </w:rPr>
          <m:t>Ξ</m:t>
        </m:r>
      </m:oMath>
      <w:r>
        <w:t xml:space="preserve"> into a finite in-boundary ought-to-be phase space </w:t>
      </w:r>
      <m:oMath>
        <m:r>
          <m:rPr>
            <m:sty m:val="p"/>
          </m:rPr>
          <w:rPr>
            <w:rFonts w:ascii="Cambria Math" w:hAnsi="Cambria Math"/>
          </w:rPr>
          <m:t>Ω</m:t>
        </m:r>
      </m:oMath>
      <w:r>
        <w:t>, necessarily and uniquely deriving the minimal complete physical 5D topological manifold:</w:t>
      </w:r>
    </w:p>
    <w:p w:rsidR="002E31FB" w:rsidRDefault="0010444F">
      <w:pPr>
        <w:pStyle w:val="a0"/>
      </w:pPr>
      <m:oMathPara>
        <m:oMathParaPr>
          <m:jc m:val="center"/>
        </m:oMathParaPr>
        <m:oMath>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m:oMathPara>
    </w:p>
    <w:p w:rsidR="002E31FB" w:rsidRDefault="0010444F">
      <w:pPr>
        <w:pStyle w:val="FirstParagraph"/>
      </w:pPr>
      <w:r>
        <w:t xml:space="preserve">Where the first three dimensions </w:t>
      </w:r>
      <m:oMath>
        <m:r>
          <m:rPr>
            <m:sty m:val="p"/>
          </m:rPr>
          <w:rPr>
            <w:rFonts w:ascii="Cambria Math" w:hAnsi="Cambria Math"/>
          </w:rPr>
          <m:t>⟨</m:t>
        </m:r>
        <m:r>
          <m:rPr>
            <m:scr m:val="script"/>
            <m:sty m:val="p"/>
          </m:rPr>
          <w:rPr>
            <w:rFonts w:ascii="Cambria Math" w:hAnsi="Cambria Math"/>
          </w:rPr>
          <m:t>N</m:t>
        </m:r>
        <m:r>
          <m:rPr>
            <m:sty m:val="p"/>
          </m:rPr>
          <w:rPr>
            <w:rFonts w:ascii="Cambria Math" w:hAnsi="Cambria Math"/>
          </w:rPr>
          <m:t>,</m:t>
        </m:r>
        <m:r>
          <m:rPr>
            <m:scr m:val="script"/>
            <m:sty m:val="p"/>
          </m:rPr>
          <w:rPr>
            <w:rFonts w:ascii="Cambria Math" w:hAnsi="Cambria Math"/>
          </w:rPr>
          <m:t>T</m:t>
        </m:r>
        <m:r>
          <m:rPr>
            <m:sty m:val="p"/>
          </m:rPr>
          <w:rPr>
            <w:rFonts w:ascii="Cambria Math" w:hAnsi="Cambria Math"/>
          </w:rPr>
          <m:t>,</m:t>
        </m:r>
        <m:r>
          <m:rPr>
            <m:scr m:val="script"/>
            <m:sty m:val="p"/>
          </m:rPr>
          <w:rPr>
            <w:rFonts w:ascii="Cambria Math" w:hAnsi="Cambria Math"/>
          </w:rPr>
          <m:t>C</m:t>
        </m:r>
        <m:r>
          <m:rPr>
            <m:sty m:val="p"/>
          </m:rPr>
          <w:rPr>
            <w:rFonts w:ascii="Cambria Math" w:hAnsi="Cambria Math"/>
          </w:rPr>
          <m:t>⟩</m:t>
        </m:r>
      </m:oMath>
      <w:r>
        <w:t xml:space="preserve"> </w:t>
      </w:r>
      <w:r>
        <w:t xml:space="preserve">(Nodes, Directed Acyclic Graph causal topology DAG, and exclusive conservation Constraint Clusters) constitute the rigid structural base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⊂Ω</m:t>
        </m:r>
      </m:oMath>
      <w:r>
        <w:t xml:space="preserve">, and the latter two dimensions </w:t>
      </w:r>
      <m:oMath>
        <m:r>
          <m:rPr>
            <m:sty m:val="p"/>
          </m:rPr>
          <w:rPr>
            <w:rFonts w:ascii="Cambria Math" w:hAnsi="Cambria Math"/>
          </w:rPr>
          <m:t>⟨</m:t>
        </m:r>
        <m:r>
          <w:rPr>
            <w:rFonts w:ascii="Cambria Math" w:hAnsi="Cambria Math"/>
          </w:rPr>
          <m:t>X</m:t>
        </m:r>
        <m:r>
          <m:rPr>
            <m:sty m:val="p"/>
          </m:rPr>
          <w:rPr>
            <w:rFonts w:ascii="Cambria Math" w:hAnsi="Cambria Math"/>
          </w:rPr>
          <m:t>,Δ</m:t>
        </m:r>
        <m:r>
          <w:rPr>
            <w:rFonts w:ascii="Cambria Math" w:hAnsi="Cambria Math"/>
          </w:rPr>
          <m:t>X</m:t>
        </m:r>
        <m:r>
          <m:rPr>
            <m:sty m:val="p"/>
          </m:rPr>
          <w:rPr>
            <w:rFonts w:ascii="Cambria Math" w:hAnsi="Cambria Math"/>
          </w:rPr>
          <m:t>⟩</m:t>
        </m:r>
      </m:oMath>
      <w:r>
        <w:t xml:space="preserve"> (State Vectors, State Transitions with causal pointers and residuals) constitute dynamic causal tangent fibers. The holistic governance structure is defined as the dual-helix </w:t>
      </w:r>
      <w:r>
        <w:lastRenderedPageBreak/>
        <w:t xml:space="preserve">tensor product of the data model manifold </w:t>
      </w:r>
      <m:oMath>
        <m:sSub>
          <m:sSubPr>
            <m:ctrlPr>
              <w:rPr>
                <w:rFonts w:ascii="Cambria Math" w:hAnsi="Cambria Math"/>
              </w:rPr>
            </m:ctrlPr>
          </m:sSubPr>
          <m:e>
            <m:r>
              <m:rPr>
                <m:scr m:val="script"/>
                <m:sty m:val="p"/>
              </m:rPr>
              <w:rPr>
                <w:rFonts w:ascii="Cambria Math" w:hAnsi="Cambria Math"/>
              </w:rPr>
              <m:t>M</m:t>
            </m:r>
          </m:e>
          <m:sub>
            <m:r>
              <m:rPr>
                <m:nor/>
              </m:rPr>
              <m:t>model</m:t>
            </m:r>
          </m:sub>
        </m:sSub>
      </m:oMath>
      <w:r>
        <w:t xml:space="preserve"> (isomorphic to </w:t>
      </w:r>
      <m:oMath>
        <m:r>
          <m:rPr>
            <m:scr m:val="script"/>
            <m:sty m:val="p"/>
          </m:rPr>
          <w:rPr>
            <w:rFonts w:ascii="Cambria Math" w:hAnsi="Cambria Math"/>
          </w:rPr>
          <m:t>D</m:t>
        </m:r>
      </m:oMath>
      <w:r>
        <w:t xml:space="preserve">) and the forward evolutionary algorithm </w:t>
      </w:r>
      <m:oMath>
        <m:r>
          <m:rPr>
            <m:scr m:val="script"/>
            <m:sty m:val="p"/>
          </m:rPr>
          <w:rPr>
            <w:rFonts w:ascii="Cambria Math" w:hAnsi="Cambria Math"/>
          </w:rPr>
          <m:t>A</m:t>
        </m:r>
      </m:oMath>
      <w:r>
        <w:t xml:space="preserve">: </w:t>
      </w:r>
      <m:oMath>
        <m:r>
          <w:rPr>
            <w:rFonts w:ascii="Cambria Math" w:hAnsi="Cambria Math"/>
          </w:rPr>
          <m:t>S</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M</m:t>
            </m:r>
          </m:e>
          <m:sub>
            <m:r>
              <m:rPr>
                <m:nor/>
              </m:rPr>
              <m:t>model</m:t>
            </m:r>
          </m:sub>
        </m:sSub>
        <m:r>
          <m:rPr>
            <m:sty m:val="p"/>
          </m:rPr>
          <w:rPr>
            <w:rFonts w:ascii="Cambria Math" w:hAnsi="Cambria Math"/>
          </w:rPr>
          <m:t>⊗</m:t>
        </m:r>
        <m:r>
          <m:rPr>
            <m:scr m:val="script"/>
            <m:sty m:val="p"/>
          </m:rPr>
          <w:rPr>
            <w:rFonts w:ascii="Cambria Math" w:hAnsi="Cambria Math"/>
          </w:rPr>
          <m:t>A</m:t>
        </m:r>
      </m:oMath>
      <w:r>
        <w:t>.</w:t>
      </w:r>
    </w:p>
    <w:p w:rsidR="002E31FB" w:rsidRDefault="0010444F">
      <w:pPr>
        <w:pStyle w:val="a0"/>
      </w:pPr>
      <w:r>
        <w:rPr>
          <w:b/>
          <w:bCs/>
        </w:rPr>
        <w:t>Lemma 1 (Rigid Manifold Orthogonal Pruning and Variational Zero-Cancellation Optimal Uniqueness Lemma)</w:t>
      </w:r>
      <w:r>
        <w:t>:</w:t>
      </w:r>
      <w:r>
        <w:br/>
        <w:t xml:space="preserve">Within a given prior boundary </w:t>
      </w:r>
      <m:oMath>
        <m:sSub>
          <m:sSubPr>
            <m:ctrlPr>
              <w:rPr>
                <w:rFonts w:ascii="Cambria Math" w:hAnsi="Cambria Math"/>
              </w:rPr>
            </m:ctrlPr>
          </m:sSubPr>
          <m:e>
            <m:r>
              <m:rPr>
                <m:sty m:val="p"/>
              </m:rPr>
              <w:rPr>
                <w:rFonts w:ascii="Cambria Math" w:hAnsi="Cambria Math"/>
              </w:rPr>
              <m:t>Π</m:t>
            </m:r>
          </m:e>
          <m:sub>
            <m:r>
              <w:rPr>
                <w:rFonts w:ascii="Cambria Math" w:hAnsi="Cambria Math"/>
              </w:rPr>
              <m:t>k</m:t>
            </m:r>
          </m:sub>
        </m:sSub>
      </m:oMath>
      <w:r>
        <w:t xml:space="preserve">, the rigid trajectory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encodes entity spatiotemporal exclusivity laws and co-directional resonance conditions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m:t>
        </m:r>
        <m:r>
          <w:rPr>
            <w:rFonts w:ascii="Cambria Math" w:hAnsi="Cambria Math"/>
          </w:rPr>
          <m:t>0</m:t>
        </m:r>
      </m:oMath>
      <w:r>
        <w:t xml:space="preserve">). The evolutionary algorithm </w:t>
      </w:r>
      <m:oMath>
        <m:r>
          <m:rPr>
            <m:scr m:val="script"/>
            <m:sty m:val="p"/>
          </m:rPr>
          <w:rPr>
            <w:rFonts w:ascii="Cambria Math" w:hAnsi="Cambria Math"/>
          </w:rPr>
          <m:t>A</m:t>
        </m:r>
      </m:oMath>
      <w:r>
        <w:t xml:space="preserve"> deduces forward along the causal DAG, stripping non-orthogonal conflicting degrees of freedom via normal projection (</w:t>
      </w:r>
      <m:oMath>
        <m:sSub>
          <m:sSubPr>
            <m:ctrlPr>
              <w:rPr>
                <w:rFonts w:ascii="Cambria Math" w:hAnsi="Cambria Math"/>
              </w:rPr>
            </m:ctrlPr>
          </m:sSubPr>
          <m:e>
            <m:r>
              <w:rPr>
                <w:rFonts w:ascii="Cambria Math" w:hAnsi="Cambria Math"/>
              </w:rPr>
              <m:t>x</m:t>
            </m:r>
          </m:e>
          <m:sub>
            <m:r>
              <m:rPr>
                <m:sty m:val="p"/>
              </m:rPr>
              <w:rPr>
                <w:rFonts w:ascii="Cambria Math" w:hAnsi="Cambria Math"/>
              </w:rPr>
              <m:t>⊥</m:t>
            </m:r>
          </m:sub>
        </m:sSub>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r>
          <m:rPr>
            <m:sty m:val="p"/>
          </m:rPr>
          <w:rPr>
            <w:rFonts w:ascii="Cambria Math" w:hAnsi="Cambria Math"/>
          </w:rPr>
          <m:t>⋅</m:t>
        </m:r>
        <m:r>
          <w:rPr>
            <w:rFonts w:ascii="Cambria Math" w:hAnsi="Cambria Math"/>
          </w:rPr>
          <m:t>x</m:t>
        </m:r>
        <m:r>
          <m:rPr>
            <m:sty m:val="p"/>
          </m:rPr>
          <w:rPr>
            <w:rFonts w:ascii="Cambria Math" w:hAnsi="Cambria Math"/>
          </w:rPr>
          <m:t>(</m:t>
        </m:r>
        <m:r>
          <w:rPr>
            <w:rFonts w:ascii="Cambria Math" w:hAnsi="Cambria Math"/>
          </w:rPr>
          <m:t>t</m:t>
        </m:r>
        <m:r>
          <m:rPr>
            <m:sty m:val="p"/>
          </m:rPr>
          <w:rPr>
            <w:rFonts w:ascii="Cambria Math" w:hAnsi="Cambria Math"/>
          </w:rPr>
          <m:t>)→</m:t>
        </m:r>
        <m:r>
          <w:rPr>
            <w:rFonts w:ascii="Cambria Math" w:hAnsi="Cambria Math"/>
          </w:rPr>
          <m:t>0</m:t>
        </m:r>
      </m:oMath>
      <w:r>
        <w:t xml:space="preserve">), algebraically pruning full permutation complexity </w:t>
      </w:r>
      <m:oMath>
        <m:r>
          <m:rPr>
            <m:scr m:val="script"/>
            <m:sty m:val="p"/>
          </m:rP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down to single-step polynomial complexity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and the trajectory satisfies the tripartite physical equivalence:</w:t>
      </w:r>
    </w:p>
    <w:p w:rsidR="002E31FB" w:rsidRDefault="0010444F">
      <w:pPr>
        <w:pStyle w:val="a0"/>
      </w:pPr>
      <m:oMathPara>
        <m:oMathParaPr>
          <m:jc m:val="center"/>
        </m:oMathParaPr>
        <m:oMath>
          <m:r>
            <m:rPr>
              <m:nor/>
            </m:rPr>
            <m:t xml:space="preserve">Algorithm Traverses </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 xml:space="preserve">Zero Vector Cancellation </m:t>
          </m:r>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0</m:t>
          </m:r>
          <m:r>
            <m:rPr>
              <m:sty m:val="p"/>
            </m:rPr>
            <w:rPr>
              <w:rFonts w:ascii="Cambria Math" w:hAnsi="Cambria Math"/>
            </w:rPr>
            <m:t>)⇔</m:t>
          </m:r>
          <m:r>
            <m:rPr>
              <m:nor/>
            </m:rPr>
            <m:t xml:space="preserve">Unique In-Boundary Global Optimal Trajectory </m:t>
          </m:r>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m:oMathPara>
    </w:p>
    <w:p w:rsidR="002E31FB" w:rsidRDefault="0010444F">
      <w:pPr>
        <w:pStyle w:val="FirstParagraph"/>
      </w:pPr>
      <w:r>
        <w:rPr>
          <w:b/>
          <w:bCs/>
        </w:rPr>
        <w:t>Proof</w:t>
      </w:r>
      <w:r>
        <w:t xml:space="preserve">: By Deduction I, internal work waste heat in a multi-node system is defined as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ty m:val="p"/>
              </m:rPr>
              <w:rPr>
                <w:rFonts w:ascii="Cambria Math" w:hAnsi="Cambria Math"/>
              </w:rPr>
              <m:t>∥</m:t>
            </m:r>
          </m:e>
        </m:nary>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m:rPr>
                    <m:sty m:val="bi"/>
                  </m:rPr>
                  <w:rPr>
                    <w:rFonts w:ascii="Cambria Math" w:hAnsi="Cambria Math"/>
                  </w:rPr>
                  <m:t>v</m:t>
                </m:r>
              </m:e>
              <m:sub>
                <m:r>
                  <w:rPr>
                    <w:rFonts w:ascii="Cambria Math" w:hAnsi="Cambria Math"/>
                  </w:rPr>
                  <m:t>i</m:t>
                </m:r>
              </m:sub>
            </m:sSub>
          </m:e>
        </m:nary>
        <m:r>
          <m:rPr>
            <m:sty m:val="p"/>
          </m:rPr>
          <w:rPr>
            <w:rFonts w:ascii="Cambria Math" w:hAnsi="Cambria Math"/>
          </w:rPr>
          <m:t>∥≥</m:t>
        </m:r>
        <m:r>
          <w:rPr>
            <w:rFonts w:ascii="Cambria Math" w:hAnsi="Cambria Math"/>
          </w:rPr>
          <m:t>0</m:t>
        </m:r>
      </m:oMath>
      <w:r>
        <w:t xml:space="preserve"> (the vector triangle inequality establishes a non-negative physical lower bound of </w:t>
      </w:r>
      <m:oMath>
        <m:r>
          <w:rPr>
            <w:rFonts w:ascii="Cambria Math" w:hAnsi="Cambria Math"/>
          </w:rPr>
          <m:t>0</m:t>
        </m:r>
      </m:oMath>
      <w:r>
        <w:t xml:space="preserve">). In each step, rigid manifold </w:t>
      </w:r>
      <m:oMath>
        <m:sSub>
          <m:sSubPr>
            <m:ctrlPr>
              <w:rPr>
                <w:rFonts w:ascii="Cambria Math" w:hAnsi="Cambria Math"/>
              </w:rPr>
            </m:ctrlPr>
          </m:sSubPr>
          <m:e>
            <m:r>
              <m:rPr>
                <m:sty m:val="p"/>
              </m:rPr>
              <w:rPr>
                <w:rFonts w:ascii="Cambria Math" w:hAnsi="Cambria Math"/>
              </w:rPr>
              <m:t>Π</m:t>
            </m:r>
          </m:e>
          <m:sub>
            <m:r>
              <m:rPr>
                <m:sty m:val="p"/>
              </m:rPr>
              <w:rPr>
                <w:rFonts w:ascii="Cambria Math" w:hAnsi="Cambria Math"/>
              </w:rPr>
              <m:t>⊥</m:t>
            </m:r>
          </m:sub>
        </m:sSub>
      </m:oMath>
      <w:r>
        <w:t xml:space="preserve"> normally prunes conflicting branches with negative inner products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j</m:t>
            </m:r>
          </m:sub>
        </m:sSub>
        <m:r>
          <m:rPr>
            <m:sty m:val="p"/>
          </m:rPr>
          <w:rPr>
            <w:rFonts w:ascii="Cambria Math" w:hAnsi="Cambria Math"/>
          </w:rPr>
          <m:t>⟩</m:t>
        </m:r>
        <m:r>
          <m:rPr>
            <m:sty m:val="p"/>
          </m:rPr>
          <w:rPr>
            <w:rFonts w:ascii="Cambria Math" w:hAnsi="Cambria Math"/>
          </w:rPr>
          <m:t>&lt;</m:t>
        </m:r>
        <m:r>
          <w:rPr>
            <w:rFonts w:ascii="Cambria Math" w:hAnsi="Cambria Math"/>
          </w:rPr>
          <m:t>0</m:t>
        </m:r>
      </m:oMath>
      <w:r>
        <w:t>), ensuring single-step friction vanishes (</w:t>
      </w:r>
      <m:oMath>
        <m:r>
          <w:rPr>
            <w:rFonts w:ascii="Cambria Math" w:hAnsi="Cambria Math"/>
          </w:rPr>
          <m:t>δ</m:t>
        </m:r>
        <m:sSubSup>
          <m:sSubSupPr>
            <m:ctrlPr>
              <w:rPr>
                <w:rFonts w:ascii="Cambria Math" w:hAnsi="Cambria Math"/>
              </w:rPr>
            </m:ctrlPr>
          </m:sSubSupPr>
          <m:e>
            <m:r>
              <w:rPr>
                <w:rFonts w:ascii="Cambria Math" w:hAnsi="Cambria Math"/>
              </w:rPr>
              <m:t>W</m:t>
            </m:r>
          </m:e>
          <m:sub>
            <m:r>
              <m:rPr>
                <m:nor/>
              </m:rPr>
              <m:t>heat</m:t>
            </m:r>
          </m:sub>
          <m:sup>
            <m:r>
              <m:rPr>
                <m:sty m:val="p"/>
              </m:rPr>
              <w:rPr>
                <w:rFonts w:ascii="Cambria Math" w:hAnsi="Cambria Math"/>
              </w:rPr>
              <m:t>(</m:t>
            </m:r>
            <m:r>
              <w:rPr>
                <w:rFonts w:ascii="Cambria Math" w:hAnsi="Cambria Math"/>
              </w:rPr>
              <m:t>k</m:t>
            </m:r>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If the trajectory completes all causal steps within a non-empty feasible domain </w:t>
      </w:r>
      <m:oMath>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w:r>
        <w:t xml:space="preserve">, cumulative friction is </w:t>
      </w:r>
      <m:oMath>
        <m:r>
          <m:rPr>
            <m:sty m:val="p"/>
          </m:rPr>
          <w:rPr>
            <w:rFonts w:ascii="Cambria Math" w:hAnsi="Cambria Math"/>
          </w:rPr>
          <m:t>Δ</m:t>
        </m:r>
        <m:sSub>
          <m:sSubPr>
            <m:ctrlPr>
              <w:rPr>
                <w:rFonts w:ascii="Cambria Math" w:hAnsi="Cambria Math"/>
              </w:rPr>
            </m:ctrlPr>
          </m:sSubPr>
          <m:e>
            <m:r>
              <w:rPr>
                <w:rFonts w:ascii="Cambria Math" w:hAnsi="Cambria Math"/>
              </w:rPr>
              <m:t>W</m:t>
            </m:r>
          </m:e>
          <m:sub>
            <m:r>
              <m:rPr>
                <m:nor/>
              </m:rPr>
              <m:t>heat</m:t>
            </m:r>
          </m:sub>
        </m:sSub>
        <m:r>
          <m:rPr>
            <m:sty m:val="p"/>
          </m:rPr>
          <w:rPr>
            <w:rFonts w:ascii="Cambria Math" w:hAnsi="Cambria Math"/>
          </w:rPr>
          <m:t>[</m:t>
        </m:r>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r>
          <m:rPr>
            <m:sty m:val="p"/>
          </m:rPr>
          <w:rPr>
            <w:rFonts w:ascii="Cambria Math" w:hAnsi="Cambria Math"/>
          </w:rPr>
          <m:t>]=</m:t>
        </m:r>
        <m:r>
          <w:rPr>
            <w:rFonts w:ascii="Cambria Math" w:hAnsi="Cambria Math"/>
          </w:rPr>
          <m:t>0</m:t>
        </m:r>
      </m:oMath>
      <w:r>
        <w:t xml:space="preserve">. Hitting the physical lower bound </w:t>
      </w:r>
      <m:oMath>
        <m:r>
          <w:rPr>
            <w:rFonts w:ascii="Cambria Math" w:hAnsi="Cambria Math"/>
          </w:rPr>
          <m:t>0</m:t>
        </m:r>
      </m:oMath>
      <w:r>
        <w:t xml:space="preserve"> is definitionally equivalent to global in-boundary optimality; and under rigid spatiotemporal exclusivity constraints, non-orthogonal competing branches are completely eliminated, leaving a unique legal execution trajectory </w:t>
      </w:r>
      <m:oMath>
        <m:sSubSup>
          <m:sSubSupPr>
            <m:ctrlPr>
              <w:rPr>
                <w:rFonts w:ascii="Cambria Math" w:hAnsi="Cambria Math"/>
              </w:rPr>
            </m:ctrlPr>
          </m:sSubSupPr>
          <m:e>
            <m:r>
              <w:rPr>
                <w:rFonts w:ascii="Cambria Math" w:hAnsi="Cambria Math"/>
              </w:rPr>
              <m:t>S</m:t>
            </m:r>
          </m:e>
          <m:sub>
            <m:r>
              <w:rPr>
                <w:rFonts w:ascii="Cambria Math" w:hAnsi="Cambria Math"/>
              </w:rPr>
              <m:t>k</m:t>
            </m:r>
          </m:sub>
          <m:sup>
            <m:r>
              <m:rPr>
                <m:sty m:val="p"/>
              </m:rPr>
              <w:rPr>
                <w:rFonts w:ascii="Cambria Math" w:hAnsi="Cambria Math"/>
              </w:rPr>
              <m:t>*</m:t>
            </m:r>
          </m:sup>
        </m:sSubSup>
      </m:oMath>
      <w:r>
        <w:t>. Q.E.D.</w:t>
      </w:r>
    </w:p>
    <w:p w:rsidR="002E31FB" w:rsidRDefault="0010444F">
      <w:pPr>
        <w:pStyle w:val="2"/>
      </w:pPr>
      <w:bookmarkStart w:id="21" w:name="X0cdd4d7793d23bbb4cded68ea7a4d92aa443a10"/>
      <w:bookmarkEnd w:id="20"/>
      <w:r>
        <w:t>7. Physical Instability Window Truncation and Polynomial Closed-Loop Computability Theorem</w:t>
      </w:r>
    </w:p>
    <w:p w:rsidR="002E31FB" w:rsidRDefault="0010444F">
      <w:pPr>
        <w:pStyle w:val="FirstParagraph"/>
      </w:pPr>
      <w:r>
        <w:t>Open complex giant systems operate in dynamic non-stationary environments, requiring governance systems to complete closed-loop solving and decision write-back before physical instability occurs.</w:t>
      </w:r>
    </w:p>
    <w:p w:rsidR="002E31FB" w:rsidRDefault="0010444F">
      <w:pPr>
        <w:pStyle w:val="a0"/>
      </w:pPr>
      <w:r>
        <w:rPr>
          <w:b/>
          <w:bCs/>
        </w:rPr>
        <w:t>Theorem 1 (Causal Finite Truncation and Polynomial Closed-Loop Computability Theorem)</w:t>
      </w:r>
      <w:r>
        <w:t>:</w:t>
      </w:r>
      <w:r>
        <w:br/>
        <w:t xml:space="preserve">Let the finite entity scale inside the boundary be </w:t>
      </w:r>
      <m:oMath>
        <m:r>
          <w:rPr>
            <w:rFonts w:ascii="Cambria Math" w:hAnsi="Cambria Math"/>
          </w:rPr>
          <m:t>N</m:t>
        </m:r>
        <m:r>
          <m:rPr>
            <m:sty m:val="p"/>
          </m:rPr>
          <w:rPr>
            <w:rFonts w:ascii="Cambria Math" w:hAnsi="Cambria Math"/>
          </w:rPr>
          <m:t>&lt;+∞</m:t>
        </m:r>
      </m:oMath>
      <w:r>
        <w:t xml:space="preserve">, the physical clock step of the control system be </w:t>
      </w:r>
      <m:oMath>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r>
          <m:rPr>
            <m:sty m:val="p"/>
          </m:rPr>
          <w:rPr>
            <w:rFonts w:ascii="Cambria Math" w:hAnsi="Cambria Math"/>
          </w:rPr>
          <m:t>&gt;</m:t>
        </m:r>
        <m:r>
          <w:rPr>
            <w:rFonts w:ascii="Cambria Math" w:hAnsi="Cambria Math"/>
          </w:rPr>
          <m:t>0</m:t>
        </m:r>
      </m:oMath>
      <w:r>
        <w:t xml:space="preserve">, the physical instability relaxation window be </w:t>
      </w:r>
      <m:oMath>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w:r>
        <w:t xml:space="preserve">, and the compliance compact-support conscience operator </w:t>
      </w:r>
      <m:oMath>
        <m:sSub>
          <m:sSubPr>
            <m:ctrlPr>
              <w:rPr>
                <w:rFonts w:ascii="Cambria Math" w:hAnsi="Cambria Math"/>
              </w:rPr>
            </m:ctrlPr>
          </m:sSubPr>
          <m:e>
            <m:r>
              <w:rPr>
                <w:rFonts w:ascii="Cambria Math" w:hAnsi="Cambria Math"/>
              </w:rPr>
              <m:t>E</m:t>
            </m:r>
          </m:e>
          <m:sub>
            <m:r>
              <m:rPr>
                <m:nor/>
              </m:rPr>
              <m:t>supp</m:t>
            </m:r>
          </m:sub>
        </m:sSub>
      </m:oMath>
      <w:r>
        <w:t xml:space="preserve"> truncate residual probability distributions within the safe dead-zone </w:t>
      </w:r>
      <m:oMath>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m:rPr>
                <m:nor/>
              </m:rPr>
              <m:t>dead</m:t>
            </m:r>
          </m:sub>
        </m:sSub>
        <m:r>
          <m:rPr>
            <m:sty m:val="p"/>
          </m:rPr>
          <w:rPr>
            <w:rFonts w:ascii="Cambria Math" w:hAnsi="Cambria Math"/>
          </w:rPr>
          <m:t>]</m:t>
        </m:r>
      </m:oMath>
      <w:r>
        <w:t xml:space="preserve"> </w:t>
      </w:r>
      <w:r>
        <w:t>to block Goodhart heavy-tailed divergence. Then:</w:t>
      </w:r>
    </w:p>
    <w:p w:rsidR="002E31FB" w:rsidRDefault="0010444F">
      <w:pPr>
        <w:pStyle w:val="Compact"/>
        <w:numPr>
          <w:ilvl w:val="0"/>
          <w:numId w:val="6"/>
        </w:numPr>
      </w:pPr>
      <w:r>
        <w:rPr>
          <w:b/>
          <w:bCs/>
        </w:rPr>
        <w:t>Finite Truncation of Causal Depth</w:t>
      </w:r>
      <w:r>
        <w:t xml:space="preserve">: The maximum causal deduction depth </w:t>
      </w:r>
      <m:oMath>
        <m:r>
          <w:rPr>
            <w:rFonts w:ascii="Cambria Math" w:hAnsi="Cambria Math"/>
          </w:rPr>
          <m:t>K</m:t>
        </m:r>
      </m:oMath>
      <w:r>
        <w:t xml:space="preserve"> is strictly truncated into a finite constant by the physical clock step and instability relaxation window:</w:t>
      </w:r>
    </w:p>
    <w:p w:rsidR="002E31FB" w:rsidRDefault="0010444F">
      <w:pPr>
        <w:pStyle w:val="Compact"/>
      </w:pPr>
      <m:oMathPara>
        <m:oMathParaPr>
          <m:jc m:val="center"/>
        </m:oMathParaPr>
        <m:oMath>
          <m:r>
            <w:rPr>
              <w:rFonts w:ascii="Cambria Math" w:hAnsi="Cambria Math"/>
            </w:rPr>
            <w:lastRenderedPageBreak/>
            <m:t>K</m:t>
          </m:r>
          <m:r>
            <m:rPr>
              <m:sty m:val="p"/>
            </m:rPr>
            <w:rPr>
              <w:rFonts w:ascii="Cambria Math" w:hAnsi="Cambria Math"/>
            </w:rPr>
            <m:t>≤</m:t>
          </m:r>
          <m:f>
            <m:fPr>
              <m:ctrlPr>
                <w:rPr>
                  <w:rFonts w:ascii="Cambria Math" w:hAnsi="Cambria Math"/>
                </w:rPr>
              </m:ctrlPr>
            </m:fPr>
            <m:num>
              <m:sSub>
                <m:sSubPr>
                  <m:ctrlPr>
                    <w:rPr>
                      <w:rFonts w:ascii="Cambria Math" w:hAnsi="Cambria Math"/>
                    </w:rPr>
                  </m:ctrlPr>
                </m:sSubPr>
                <m:e>
                  <m:r>
                    <w:rPr>
                      <w:rFonts w:ascii="Cambria Math" w:hAnsi="Cambria Math"/>
                    </w:rPr>
                    <m:t>τ</m:t>
                  </m:r>
                </m:e>
                <m:sub>
                  <m:r>
                    <m:rPr>
                      <m:nor/>
                    </m:rPr>
                    <m:t>phy</m:t>
                  </m:r>
                </m:sub>
              </m:sSub>
            </m:num>
            <m:den>
              <m:r>
                <m:rPr>
                  <m:sty m:val="p"/>
                </m:rPr>
                <w:rPr>
                  <w:rFonts w:ascii="Cambria Math" w:hAnsi="Cambria Math"/>
                </w:rPr>
                <m:t>Δ</m:t>
              </m:r>
              <m:sSub>
                <m:sSubPr>
                  <m:ctrlPr>
                    <w:rPr>
                      <w:rFonts w:ascii="Cambria Math" w:hAnsi="Cambria Math"/>
                    </w:rPr>
                  </m:ctrlPr>
                </m:sSubPr>
                <m:e>
                  <m:r>
                    <w:rPr>
                      <w:rFonts w:ascii="Cambria Math" w:hAnsi="Cambria Math"/>
                    </w:rPr>
                    <m:t>t</m:t>
                  </m:r>
                </m:e>
                <m:sub>
                  <m:r>
                    <m:rPr>
                      <m:nor/>
                    </m:rPr>
                    <m:t>clock</m:t>
                  </m:r>
                </m:sub>
              </m:sSub>
            </m:den>
          </m:f>
          <m:r>
            <m:rPr>
              <m:sty m:val="p"/>
            </m:rPr>
            <w:rPr>
              <w:rFonts w:ascii="Cambria Math" w:hAnsi="Cambria Math"/>
            </w:rPr>
            <m:t>&lt;+∞</m:t>
          </m:r>
        </m:oMath>
      </m:oMathPara>
    </w:p>
    <w:p w:rsidR="002E31FB" w:rsidRDefault="0010444F">
      <w:pPr>
        <w:pStyle w:val="Compact"/>
        <w:numPr>
          <w:ilvl w:val="0"/>
          <w:numId w:val="6"/>
        </w:numPr>
      </w:pPr>
      <w:r>
        <w:rPr>
          <w:b/>
          <w:bCs/>
        </w:rPr>
        <w:t>Polynomial-Time Closed-Loop Convergence</w:t>
      </w:r>
      <w:r>
        <w:t xml:space="preserve">: Coupled with single-step non-backtracking orthogonal pruning operators </w:t>
      </w:r>
      <m:oMath>
        <m:sSub>
          <m:sSubPr>
            <m:ctrlPr>
              <w:rPr>
                <w:rFonts w:ascii="Cambria Math" w:hAnsi="Cambria Math"/>
              </w:rPr>
            </m:ctrlPr>
          </m:sSubPr>
          <m:e>
            <m:r>
              <m:rPr>
                <m:scr m:val="script"/>
                <m:sty m:val="p"/>
              </m:rPr>
              <w:rPr>
                <w:rFonts w:ascii="Cambria Math" w:hAnsi="Cambria Math"/>
              </w:rPr>
              <m:t>P</m:t>
            </m:r>
          </m:e>
          <m:sub>
            <m:r>
              <w:rPr>
                <w:rFonts w:ascii="Cambria Math" w:hAnsi="Cambria Math"/>
              </w:rPr>
              <m:t>k</m:t>
            </m:r>
          </m:sub>
        </m:sSub>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oMath>
      <w:r>
        <w:t xml:space="preserve">, total closed-loop computation time strictly belongs to polynomial class </w:t>
      </w:r>
      <m:oMath>
        <m:r>
          <m:rPr>
            <m:sty m:val="bi"/>
          </m:rPr>
          <w:rPr>
            <w:rFonts w:ascii="Cambria Math" w:hAnsi="Cambria Math"/>
          </w:rPr>
          <m:t>P</m:t>
        </m:r>
      </m:oMath>
      <w:r>
        <w:t xml:space="preserve"> and completes self-healing closure before physical instability:</w:t>
      </w:r>
    </w:p>
    <w:p w:rsidR="002E31FB" w:rsidRDefault="0010444F">
      <w:pPr>
        <w:pStyle w:val="Compact"/>
      </w:pPr>
      <m:oMathPara>
        <m:oMathParaPr>
          <m:jc m:val="center"/>
        </m:oMathParaPr>
        <m:oMath>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r>
            <w:rPr>
              <w:rFonts w:ascii="Cambria Math" w:hAnsi="Cambria Math"/>
            </w:rPr>
            <m:t>O</m:t>
          </m:r>
          <m:r>
            <m:rPr>
              <m:sty m:val="p"/>
            </m:rPr>
            <w:rPr>
              <w:rFonts w:ascii="Cambria Math" w:hAnsi="Cambria Math"/>
            </w:rPr>
            <m:t>(</m:t>
          </m:r>
          <m:r>
            <w:rPr>
              <w:rFonts w:ascii="Cambria Math" w:hAnsi="Cambria Math"/>
            </w:rPr>
            <m:t>K</m:t>
          </m:r>
          <m:r>
            <m:rPr>
              <m:sty m:val="p"/>
            </m:rPr>
            <w:rPr>
              <w:rFonts w:ascii="Cambria Math" w:hAnsi="Cambria Math"/>
            </w:rPr>
            <m:t>⋅</m:t>
          </m:r>
          <m:r>
            <w:rPr>
              <w:rFonts w:ascii="Cambria Math" w:hAnsi="Cambria Math"/>
            </w:rPr>
            <m:t>N</m:t>
          </m:r>
          <m:r>
            <m:rPr>
              <m:sty m:val="p"/>
            </m:rPr>
            <w:rPr>
              <w:rFonts w:ascii="Cambria Math" w:hAnsi="Cambria Math"/>
            </w:rPr>
            <m:t>log</m:t>
          </m:r>
          <m:r>
            <w:rPr>
              <w:rFonts w:ascii="Cambria Math" w:hAnsi="Cambria Math"/>
            </w:rPr>
            <m:t>N</m:t>
          </m:r>
          <m:r>
            <m:rPr>
              <m:sty m:val="p"/>
            </m:rPr>
            <w:rPr>
              <w:rFonts w:ascii="Cambria Math" w:hAnsi="Cambria Math"/>
            </w:rPr>
            <m:t>)∈</m:t>
          </m:r>
          <m:r>
            <m:rPr>
              <m:sty m:val="bi"/>
            </m:rPr>
            <w:rPr>
              <w:rFonts w:ascii="Cambria Math" w:hAnsi="Cambria Math"/>
            </w:rPr>
            <m:t>P</m:t>
          </m:r>
          <m:r>
            <m:rPr>
              <m:sty m:val="p"/>
            </m:rPr>
            <w:rPr>
              <w:rFonts w:ascii="Cambria Math" w:hAnsi="Cambria Math"/>
            </w:rPr>
            <m:t>,</m:t>
          </m:r>
          <m:r>
            <w:rPr>
              <w:rFonts w:ascii="Cambria Math" w:hAnsi="Cambria Math"/>
            </w:rPr>
            <m:t> </m:t>
          </m:r>
          <m:r>
            <m:rPr>
              <m:nor/>
            </m:rPr>
            <m:t xml:space="preserve">and </m:t>
          </m:r>
          <m:r>
            <w:rPr>
              <w:rFonts w:ascii="Cambria Math" w:hAnsi="Cambria Math"/>
            </w:rPr>
            <m:t>T</m:t>
          </m:r>
          <m:r>
            <m:rPr>
              <m:sty m:val="p"/>
            </m:rPr>
            <w:rPr>
              <w:rFonts w:ascii="Cambria Math" w:hAnsi="Cambria Math"/>
            </w:rPr>
            <m:t>(</m:t>
          </m:r>
          <m:r>
            <w:rPr>
              <w:rFonts w:ascii="Cambria Math" w:hAnsi="Cambria Math"/>
            </w:rPr>
            <m:t>N</m:t>
          </m:r>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phy</m:t>
              </m:r>
            </m:sub>
          </m:sSub>
          <m:r>
            <m:rPr>
              <m:sty m:val="p"/>
            </m:rPr>
            <w:rPr>
              <w:rFonts w:ascii="Cambria Math" w:hAnsi="Cambria Math"/>
            </w:rPr>
            <m:t>&lt;+∞</m:t>
          </m:r>
        </m:oMath>
      </m:oMathPara>
    </w:p>
    <w:p w:rsidR="002E31FB" w:rsidRDefault="0010444F">
      <w:pPr>
        <w:pStyle w:val="Compact"/>
        <w:numPr>
          <w:ilvl w:val="0"/>
          <w:numId w:val="6"/>
        </w:numPr>
      </w:pPr>
      <w:r>
        <w:rPr>
          <w:b/>
          <w:bCs/>
        </w:rPr>
        <w:t>Cross-Generational Metacognitive Amendment Loop</w:t>
      </w:r>
      <w:r>
        <w:t>: When external extreme phase transitions cause perception residuals to breach tolerance thresholds (</w:t>
      </w:r>
      <m:oMath>
        <m:r>
          <m:rPr>
            <m:sty m:val="p"/>
          </m:rPr>
          <w:rPr>
            <w:rFonts w:ascii="Cambria Math" w:hAnsi="Cambria Math"/>
          </w:rPr>
          <m:t>∥Δ</m:t>
        </m:r>
        <m:r>
          <w:rPr>
            <w:rFonts w:ascii="Cambria Math" w:hAnsi="Cambria Math"/>
          </w:rPr>
          <m:t>X</m:t>
        </m:r>
        <m:r>
          <m:rPr>
            <m:sty m:val="p"/>
          </m:rPr>
          <w:rPr>
            <w:rFonts w:ascii="Cambria Math" w:hAnsi="Cambria Math"/>
          </w:rPr>
          <m:t>∥&gt;</m:t>
        </m:r>
        <m:sSub>
          <m:sSubPr>
            <m:ctrlPr>
              <w:rPr>
                <w:rFonts w:ascii="Cambria Math" w:hAnsi="Cambria Math"/>
              </w:rPr>
            </m:ctrlPr>
          </m:sSubPr>
          <m:e>
            <m:r>
              <w:rPr>
                <w:rFonts w:ascii="Cambria Math" w:hAnsi="Cambria Math"/>
              </w:rPr>
              <m:t>θ</m:t>
            </m:r>
          </m:e>
          <m:sub>
            <m:r>
              <m:rPr>
                <m:nor/>
              </m:rPr>
              <m:t>trigger</m:t>
            </m:r>
          </m:sub>
        </m:sSub>
      </m:oMath>
      <w:r>
        <w:t xml:space="preserve">, rendering first-order feasible domain </w:t>
      </w:r>
      <m:oMath>
        <m:r>
          <m:rPr>
            <m:nor/>
          </m:rPr>
          <m:t>Sol</m:t>
        </m:r>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C</m:t>
            </m:r>
          </m:e>
          <m:sub>
            <m:r>
              <w:rPr>
                <w:rFonts w:ascii="Cambria Math" w:hAnsi="Cambria Math"/>
              </w:rPr>
              <m:t>k</m:t>
            </m:r>
          </m:sub>
        </m:sSub>
        <m:r>
          <m:rPr>
            <m:sty m:val="p"/>
          </m:rPr>
          <w:rPr>
            <w:rFonts w:ascii="Cambria Math" w:hAnsi="Cambria Math"/>
          </w:rPr>
          <m:t>)=∅</m:t>
        </m:r>
      </m:oMath>
      <w:r>
        <w:t xml:space="preserve">), the carbon-based Chief Designer activates the second-order metacognitive operator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Π</m:t>
            </m:r>
          </m:e>
          <m:sub>
            <m:r>
              <w:rPr>
                <w:rFonts w:ascii="Cambria Math" w:hAnsi="Cambria Math"/>
              </w:rPr>
              <m:t>k</m:t>
            </m:r>
            <m:r>
              <m:rPr>
                <m:sty m:val="p"/>
              </m:rPr>
              <w:rPr>
                <w:rFonts w:ascii="Cambria Math" w:hAnsi="Cambria Math"/>
              </w:rPr>
              <m:t>+</m:t>
            </m:r>
            <m:r>
              <w:rPr>
                <w:rFonts w:ascii="Cambria Math" w:hAnsi="Cambria Math"/>
              </w:rPr>
              <m:t>1</m:t>
            </m:r>
          </m:sub>
        </m:sSub>
      </m:oMath>
      <w:r>
        <w:t xml:space="preserve"> to reconstruct axiomatic bases, restoring a non-empty feasible domain and closed-loop computability via the human-machine orthogonal tensor product </w:t>
      </w:r>
      <m:oMath>
        <m:sSub>
          <m:sSubPr>
            <m:ctrlPr>
              <w:rPr>
                <w:rFonts w:ascii="Cambria Math" w:hAnsi="Cambria Math"/>
              </w:rPr>
            </m:ctrlPr>
          </m:sSubPr>
          <m:e>
            <m:r>
              <m:rPr>
                <m:sty m:val="p"/>
              </m:rPr>
              <w:rPr>
                <w:rFonts w:ascii="Cambria Math" w:hAnsi="Cambria Math"/>
              </w:rPr>
              <m:t>Φ</m:t>
            </m:r>
          </m:e>
          <m:sub>
            <m:r>
              <m:rPr>
                <m:nor/>
              </m:rPr>
              <m:t>Human</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A</m:t>
            </m:r>
          </m:e>
          <m:sub>
            <m:r>
              <m:rPr>
                <m:nor/>
              </m:rPr>
              <m:t>Silicon</m:t>
            </m:r>
          </m:sub>
        </m:sSub>
      </m:oMath>
      <w:r>
        <w:t>.</w:t>
      </w:r>
    </w:p>
    <w:p w:rsidR="002E31FB" w:rsidRDefault="0010444F">
      <w:pPr>
        <w:pStyle w:val="FirstParagraph"/>
      </w:pPr>
      <w:r>
        <w:rPr>
          <w:b/>
          <w:bCs/>
        </w:rPr>
        <w:t>Physical and Algorithmic Significance</w:t>
      </w:r>
      <w:r>
        <w:t xml:space="preserve">: Theorem 1 proves that the “closed-loop computability” </w:t>
      </w:r>
      <w:r>
        <w:t>of OCGS does not rely on infinite compute stacking or static convex assumptions, but continuously generates dynamic optimal closed-loop solutions under finite physical compute via “prior boundary locking of the 5D manifold + normal stripping of internal friction on rigid barriers + causal depth truncation within physical instability windows + second-order metacognitive axiomatic amendment.”</w:t>
      </w:r>
    </w:p>
    <w:p w:rsidR="002E31FB" w:rsidRDefault="0010444F">
      <w:r>
        <w:pict>
          <v:rect id="_x0000_i1029" style="width:0;height:1.5pt" o:hralign="center" o:hrstd="t" o:hr="t"/>
        </w:pict>
      </w:r>
    </w:p>
    <w:p w:rsidR="002E31FB" w:rsidRDefault="0010444F">
      <w:pPr>
        <w:pStyle w:val="1"/>
      </w:pPr>
      <w:bookmarkStart w:id="22" w:name="part-iv-isomorphism-to-qians-ocgs"/>
      <w:bookmarkEnd w:id="21"/>
      <w:bookmarkEnd w:id="19"/>
      <w:r>
        <w:t>Part IV: Isomorphism to Qian’s OCGS</w:t>
      </w:r>
    </w:p>
    <w:p w:rsidR="002E31FB" w:rsidRDefault="0010444F">
      <w:pPr>
        <w:pStyle w:val="FirstParagraph"/>
      </w:pPr>
      <w:r>
        <w:t>Regarding formal background and empirical details of the eight deductions in author’s prior works, see SSRN, Zenodo, and GitHub open-source repositories [11-15]. The core mathematical proofs of this paper (5D manifold orthogonal pruning and causal finite-truncation closed-loop computability theorem) are completely independent of prior empirical works and possess independent mathematical self-consistency.</w:t>
      </w:r>
    </w:p>
    <w:p w:rsidR="002E31FB" w:rsidRDefault="0010444F">
      <w:pPr>
        <w:pStyle w:val="2"/>
      </w:pPr>
      <w:bookmarkStart w:id="23" w:name="Xc8145ef74db76fee5c4125c97e6e84a273d06f7"/>
      <w:r>
        <w:t>8. 1-to-1 Isomorphic Mapping Table Between Eight Deductions and Qian’s OCGS Theory</w:t>
      </w:r>
    </w:p>
    <w:tbl>
      <w:tblPr>
        <w:tblStyle w:val="Table"/>
        <w:tblW w:w="5000" w:type="pct"/>
        <w:tblLayout w:type="fixed"/>
        <w:tblLook w:val="0020" w:firstRow="1" w:lastRow="0" w:firstColumn="0" w:lastColumn="0" w:noHBand="0" w:noVBand="0"/>
      </w:tblPr>
      <w:tblGrid>
        <w:gridCol w:w="3081"/>
        <w:gridCol w:w="3081"/>
        <w:gridCol w:w="3081"/>
      </w:tblGrid>
      <w:tr w:rsidR="002E31FB" w:rsidTr="002E31FB">
        <w:trPr>
          <w:cnfStyle w:val="100000000000" w:firstRow="1" w:lastRow="0" w:firstColumn="0" w:lastColumn="0" w:oddVBand="0" w:evenVBand="0" w:oddHBand="0" w:evenHBand="0" w:firstRowFirstColumn="0" w:firstRowLastColumn="0" w:lastRowFirstColumn="0" w:lastRowLastColumn="0"/>
          <w:tblHeader/>
        </w:trPr>
        <w:tc>
          <w:tcPr>
            <w:tcW w:w="2640" w:type="dxa"/>
          </w:tcPr>
          <w:p w:rsidR="002E31FB" w:rsidRDefault="0010444F">
            <w:pPr>
              <w:pStyle w:val="Compact"/>
            </w:pPr>
            <w:r>
              <w:t>Deduction in Paper</w:t>
            </w:r>
          </w:p>
        </w:tc>
        <w:tc>
          <w:tcPr>
            <w:tcW w:w="2640" w:type="dxa"/>
          </w:tcPr>
          <w:p w:rsidR="002E31FB" w:rsidRDefault="0010444F">
            <w:pPr>
              <w:pStyle w:val="Compact"/>
            </w:pPr>
            <w:r>
              <w:t>Qian Xuesen’s Core OCGS Propositions [1-3]</w:t>
            </w:r>
          </w:p>
        </w:tc>
        <w:tc>
          <w:tcPr>
            <w:tcW w:w="2640" w:type="dxa"/>
          </w:tcPr>
          <w:p w:rsidR="002E31FB" w:rsidRDefault="0010444F">
            <w:pPr>
              <w:pStyle w:val="Compact"/>
            </w:pPr>
            <w:r>
              <w:t>Physical and Cybernetic Isomorphic Proof</w:t>
            </w:r>
          </w:p>
        </w:tc>
      </w:tr>
      <w:tr w:rsidR="002E31FB">
        <w:tc>
          <w:tcPr>
            <w:tcW w:w="2640" w:type="dxa"/>
          </w:tcPr>
          <w:p w:rsidR="002E31FB" w:rsidRDefault="0010444F">
            <w:pPr>
              <w:pStyle w:val="Compact"/>
            </w:pPr>
            <w:r>
              <w:rPr>
                <w:b/>
                <w:bCs/>
              </w:rPr>
              <w:t>Deduction I (Teleology)</w:t>
            </w:r>
            <w:r>
              <w:t>Global Governance, Eliminating Vector Cancellation</w:t>
            </w:r>
          </w:p>
        </w:tc>
        <w:tc>
          <w:tcPr>
            <w:tcW w:w="2640" w:type="dxa"/>
          </w:tcPr>
          <w:p w:rsidR="002E31FB" w:rsidRDefault="0010444F">
            <w:pPr>
              <w:pStyle w:val="Compact"/>
            </w:pPr>
            <w:r>
              <w:rPr>
                <w:b/>
                <w:bCs/>
              </w:rPr>
              <w:t>Holism and Comprehensive Governance of Open Complex Giant Systems</w:t>
            </w:r>
            <w:r>
              <w:t xml:space="preserve"> [1]</w:t>
            </w:r>
          </w:p>
        </w:tc>
        <w:tc>
          <w:tcPr>
            <w:tcW w:w="2640" w:type="dxa"/>
          </w:tcPr>
          <w:p w:rsidR="002E31FB" w:rsidRDefault="0010444F">
            <w:pPr>
              <w:pStyle w:val="Compact"/>
            </w:pPr>
            <w:r>
              <w:t>Global objective function aligns subsystem vectors, preventing internal friction and cancellation, maximizing total system force</w:t>
            </w:r>
          </w:p>
        </w:tc>
      </w:tr>
      <w:tr w:rsidR="002E31FB">
        <w:tc>
          <w:tcPr>
            <w:tcW w:w="2640" w:type="dxa"/>
          </w:tcPr>
          <w:p w:rsidR="002E31FB" w:rsidRDefault="0010444F">
            <w:pPr>
              <w:pStyle w:val="Compact"/>
            </w:pPr>
            <w:r>
              <w:rPr>
                <w:b/>
                <w:bCs/>
              </w:rPr>
              <w:lastRenderedPageBreak/>
              <w:t>Deduction II (Ontology)</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Complexity &amp; Scaling Law Breakthrough</w:t>
            </w:r>
          </w:p>
        </w:tc>
        <w:tc>
          <w:tcPr>
            <w:tcW w:w="2640" w:type="dxa"/>
          </w:tcPr>
          <w:p w:rsidR="002E31FB" w:rsidRDefault="0010444F">
            <w:pPr>
              <w:pStyle w:val="Compact"/>
            </w:pPr>
            <w:r>
              <w:rPr>
                <w:b/>
                <w:bCs/>
              </w:rPr>
              <w:t>Enormity, High-Dimensionality, and Non-Convexity of Complex Giant Systems</w:t>
            </w:r>
            <w:r>
              <w:t xml:space="preserve"> [1-3]</w:t>
            </w:r>
          </w:p>
        </w:tc>
        <w:tc>
          <w:tcPr>
            <w:tcW w:w="2640" w:type="dxa"/>
          </w:tcPr>
          <w:p w:rsidR="002E31FB" w:rsidRDefault="0010444F">
            <w:pPr>
              <w:pStyle w:val="Compact"/>
            </w:pPr>
            <w:r>
              <w:t xml:space="preserve">Topological pruning solves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state explosion, achieving real-time solving under finite compute</w:t>
            </w:r>
          </w:p>
        </w:tc>
      </w:tr>
      <w:tr w:rsidR="002E31FB">
        <w:tc>
          <w:tcPr>
            <w:tcW w:w="2640" w:type="dxa"/>
          </w:tcPr>
          <w:p w:rsidR="002E31FB" w:rsidRDefault="0010444F">
            <w:pPr>
              <w:pStyle w:val="Compact"/>
            </w:pPr>
            <w:r>
              <w:rPr>
                <w:b/>
                <w:bCs/>
              </w:rPr>
              <w:t>Deduction III (Methodology)</w:t>
            </w:r>
            <w:r>
              <w:t>Topological Data Model &amp; Algorithm IS Business Itself</w:t>
            </w:r>
          </w:p>
        </w:tc>
        <w:tc>
          <w:tcPr>
            <w:tcW w:w="2640" w:type="dxa"/>
          </w:tcPr>
          <w:p w:rsidR="002E31FB" w:rsidRDefault="0010444F">
            <w:pPr>
              <w:pStyle w:val="Compact"/>
            </w:pPr>
            <w:r>
              <w:rPr>
                <w:b/>
                <w:bCs/>
              </w:rPr>
              <w:t>Metasynthetic Method from Qualitative to Quantitative</w:t>
            </w:r>
            <w:r>
              <w:t xml:space="preserve"> [1-3]</w:t>
            </w:r>
          </w:p>
        </w:tc>
        <w:tc>
          <w:tcPr>
            <w:tcW w:w="2640" w:type="dxa"/>
          </w:tcPr>
          <w:p w:rsidR="002E31FB" w:rsidRDefault="0010444F">
            <w:pPr>
              <w:pStyle w:val="Compact"/>
            </w:pPr>
            <w:r>
              <w:t xml:space="preserve">Topological model </w:t>
            </w:r>
            <m:oMath>
              <m:r>
                <m:rPr>
                  <m:scr m:val="script"/>
                  <m:sty m:val="p"/>
                </m:rPr>
                <w:rPr>
                  <w:rFonts w:ascii="Cambria Math" w:hAnsi="Cambria Math"/>
                </w:rPr>
                <m:t>D</m:t>
              </m:r>
            </m:oMath>
            <w:r>
              <w:t xml:space="preserve"> and algorithm </w:t>
            </w:r>
            <m:oMath>
              <m:r>
                <m:rPr>
                  <m:scr m:val="script"/>
                  <m:sty m:val="p"/>
                </m:rPr>
                <w:rPr>
                  <w:rFonts w:ascii="Cambria Math" w:hAnsi="Cambria Math"/>
                </w:rPr>
                <m:t>A</m:t>
              </m:r>
            </m:oMath>
            <w:r>
              <w:t xml:space="preserve"> </w:t>
            </w:r>
            <w:r>
              <w:t>map homeomorphically as phase space and evolution engine</w:t>
            </w:r>
          </w:p>
        </w:tc>
      </w:tr>
      <w:tr w:rsidR="002E31FB">
        <w:tc>
          <w:tcPr>
            <w:tcW w:w="2640" w:type="dxa"/>
          </w:tcPr>
          <w:p w:rsidR="002E31FB" w:rsidRDefault="0010444F">
            <w:pPr>
              <w:pStyle w:val="Compact"/>
            </w:pPr>
            <w:r>
              <w:rPr>
                <w:b/>
                <w:bCs/>
              </w:rPr>
              <w:t>Deduction IV (Capability)</w:t>
            </w:r>
            <w:r>
              <w:t>Metasynthetic Wisdom &amp; Carbon-Silicon Compensation</w:t>
            </w:r>
          </w:p>
        </w:tc>
        <w:tc>
          <w:tcPr>
            <w:tcW w:w="2640" w:type="dxa"/>
          </w:tcPr>
          <w:p w:rsidR="002E31FB" w:rsidRDefault="0010444F">
            <w:pPr>
              <w:pStyle w:val="Compact"/>
            </w:pPr>
            <w:r>
              <w:rPr>
                <w:b/>
                <w:bCs/>
              </w:rPr>
              <w:t>Human-Machine Combination, Human-Centered “Metasynthetic Wisdom”</w:t>
            </w:r>
            <w:r>
              <w:t xml:space="preserve"> [1-3]</w:t>
            </w:r>
          </w:p>
        </w:tc>
        <w:tc>
          <w:tcPr>
            <w:tcW w:w="2640" w:type="dxa"/>
          </w:tcPr>
          <w:p w:rsidR="002E31FB" w:rsidRDefault="0010444F">
            <w:pPr>
              <w:pStyle w:val="Compact"/>
            </w:pPr>
            <w:r>
              <w:t>Department of Overall Design governs full domain, silicon millisecond compute &amp; carbon experience achieve capability compensation</w:t>
            </w:r>
          </w:p>
        </w:tc>
      </w:tr>
      <w:tr w:rsidR="002E31FB">
        <w:tc>
          <w:tcPr>
            <w:tcW w:w="2640" w:type="dxa"/>
          </w:tcPr>
          <w:p w:rsidR="002E31FB" w:rsidRDefault="0010444F">
            <w:pPr>
              <w:pStyle w:val="Compact"/>
            </w:pPr>
            <w:r>
              <w:rPr>
                <w:b/>
                <w:bCs/>
              </w:rPr>
              <w:t>Deduction V (Mechanism)</w:t>
            </w:r>
            <w:r>
              <w:t>Dual-State Synergy &amp; Overall Design Dept</w:t>
            </w:r>
          </w:p>
        </w:tc>
        <w:tc>
          <w:tcPr>
            <w:tcW w:w="2640" w:type="dxa"/>
          </w:tcPr>
          <w:p w:rsidR="002E31FB" w:rsidRDefault="0010444F">
            <w:pPr>
              <w:pStyle w:val="Compact"/>
            </w:pPr>
            <w:r>
              <w:rPr>
                <w:b/>
                <w:bCs/>
              </w:rPr>
              <w:t>Department of Overall Design &amp; HWME Hall System</w:t>
            </w:r>
            <w:r>
              <w:t xml:space="preserve"> [1-3]</w:t>
            </w:r>
          </w:p>
        </w:tc>
        <w:tc>
          <w:tcPr>
            <w:tcW w:w="2640" w:type="dxa"/>
          </w:tcPr>
          <w:p w:rsidR="002E31FB" w:rsidRDefault="0010444F">
            <w:pPr>
              <w:pStyle w:val="Compact"/>
            </w:pPr>
            <w:r>
              <w:t xml:space="preserve">Corresponding to HWME Three Elements [1-3]:1. </w:t>
            </w:r>
            <w:r>
              <w:rPr>
                <w:b/>
                <w:bCs/>
              </w:rPr>
              <w:t>Expert System</w:t>
            </w:r>
            <w:r>
              <w:t xml:space="preserve"> </w:t>
            </w:r>
            <m:oMath>
              <m:r>
                <m:rPr>
                  <m:sty m:val="p"/>
                </m:rPr>
                <w:rPr>
                  <w:rFonts w:ascii="Cambria Math" w:hAnsi="Cambria Math"/>
                </w:rPr>
                <m:t>→</m:t>
              </m:r>
            </m:oMath>
            <w:r>
              <w:t xml:space="preserve"> Chief Designer (Operator </w:t>
            </w:r>
            <m:oMath>
              <m:r>
                <m:rPr>
                  <m:sty m:val="p"/>
                </m:rPr>
                <w:rPr>
                  <w:rFonts w:ascii="Cambria Math" w:hAnsi="Cambria Math"/>
                </w:rPr>
                <m:t>Φ</m:t>
              </m:r>
            </m:oMath>
            <w:r>
              <w:t xml:space="preserve"> / Qualitative Amendment)2. </w:t>
            </w:r>
            <w:r>
              <w:rPr>
                <w:b/>
                <w:bCs/>
              </w:rPr>
              <w:t>Machine System</w:t>
            </w:r>
            <w:r>
              <w:t xml:space="preserve"> </w:t>
            </w:r>
            <m:oMath>
              <m:r>
                <m:rPr>
                  <m:sty m:val="p"/>
                </m:rPr>
                <w:rPr>
                  <w:rFonts w:ascii="Cambria Math" w:hAnsi="Cambria Math"/>
                </w:rPr>
                <m:t>→</m:t>
              </m:r>
            </m:oMath>
            <w:r>
              <w:t xml:space="preserve"> Silicon IPC Engine (High-frequency compensation)3. </w:t>
            </w:r>
            <w:r>
              <w:rPr>
                <w:b/>
                <w:bCs/>
              </w:rPr>
              <w:t>Knowledge System</w:t>
            </w:r>
            <w:r>
              <w:t xml:space="preserve"> </w:t>
            </w:r>
            <m:oMath>
              <m:r>
                <m:rPr>
                  <m:sty m:val="p"/>
                </m:rPr>
                <w:rPr>
                  <w:rFonts w:ascii="Cambria Math" w:hAnsi="Cambria Math"/>
                </w:rPr>
                <m:t>→</m:t>
              </m:r>
            </m:oMath>
            <w:r>
              <w:t xml:space="preserve"> Topological Data Model &amp; Algorithm</w:t>
            </w:r>
          </w:p>
        </w:tc>
      </w:tr>
      <w:tr w:rsidR="002E31FB">
        <w:tc>
          <w:tcPr>
            <w:tcW w:w="2640" w:type="dxa"/>
          </w:tcPr>
          <w:p w:rsidR="002E31FB" w:rsidRDefault="0010444F">
            <w:pPr>
              <w:pStyle w:val="Compact"/>
            </w:pPr>
            <w:r>
              <w:rPr>
                <w:b/>
                <w:bCs/>
              </w:rPr>
              <w:t>Deduction VI (Pathway)</w:t>
            </w:r>
            <w:r>
              <w:t>Strategic Top-Down, Capability Bottom-Up</w:t>
            </w:r>
          </w:p>
        </w:tc>
        <w:tc>
          <w:tcPr>
            <w:tcW w:w="2640" w:type="dxa"/>
          </w:tcPr>
          <w:p w:rsidR="002E31FB" w:rsidRDefault="0010444F">
            <w:pPr>
              <w:pStyle w:val="Compact"/>
            </w:pPr>
            <w:r>
              <w:rPr>
                <w:b/>
                <w:bCs/>
              </w:rPr>
              <w:t>Top-Down Design &amp; Bottom-Up Engineering Construction in Systems Engineering</w:t>
            </w:r>
            <w:r>
              <w:t xml:space="preserve"> [1,2]</w:t>
            </w:r>
          </w:p>
        </w:tc>
        <w:tc>
          <w:tcPr>
            <w:tcW w:w="2640" w:type="dxa"/>
          </w:tcPr>
          <w:p w:rsidR="002E31FB" w:rsidRDefault="0010444F">
            <w:pPr>
              <w:pStyle w:val="Compact"/>
            </w:pPr>
            <w:r>
              <w:t>Under Wiener’s cybernetic boundary [5,6], control depends on bottom-up observable granularity; top strategic governance &amp; bottom capability grounding are duals</w:t>
            </w:r>
          </w:p>
        </w:tc>
      </w:tr>
      <w:tr w:rsidR="002E31FB">
        <w:tc>
          <w:tcPr>
            <w:tcW w:w="2640" w:type="dxa"/>
          </w:tcPr>
          <w:p w:rsidR="002E31FB" w:rsidRDefault="0010444F">
            <w:pPr>
              <w:pStyle w:val="Compact"/>
            </w:pPr>
            <w:r>
              <w:rPr>
                <w:b/>
                <w:bCs/>
              </w:rPr>
              <w:t>Deduction VII (Dynamics)</w:t>
            </w:r>
            <w:r>
              <w:t xml:space="preserve">Scalar Product of Will and </w:t>
            </w:r>
            <w:r>
              <w:lastRenderedPageBreak/>
              <w:t xml:space="preserve">Physical Logic </w:t>
            </w:r>
            <m:oMath>
              <m:r>
                <w:rPr>
                  <w:rFonts w:ascii="Cambria Math" w:hAnsi="Cambria Math"/>
                </w:rPr>
                <m:t>W</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S</m:t>
              </m:r>
            </m:oMath>
          </w:p>
        </w:tc>
        <w:tc>
          <w:tcPr>
            <w:tcW w:w="2640" w:type="dxa"/>
          </w:tcPr>
          <w:p w:rsidR="002E31FB" w:rsidRDefault="0010444F">
            <w:pPr>
              <w:pStyle w:val="Compact"/>
            </w:pPr>
            <w:r>
              <w:rPr>
                <w:b/>
                <w:bCs/>
              </w:rPr>
              <w:lastRenderedPageBreak/>
              <w:t>Dialectical Materialist Systems View &amp; Human Strategic Will</w:t>
            </w:r>
            <w:r>
              <w:t xml:space="preserve"> [1,2]</w:t>
            </w:r>
          </w:p>
        </w:tc>
        <w:tc>
          <w:tcPr>
            <w:tcW w:w="2640" w:type="dxa"/>
          </w:tcPr>
          <w:p w:rsidR="002E31FB" w:rsidRDefault="0010444F">
            <w:pPr>
              <w:pStyle w:val="Compact"/>
            </w:pPr>
            <w:r>
              <w:t xml:space="preserve">Silicon logic provides path vector </w:t>
            </w:r>
            <m:oMath>
              <m:r>
                <m:rPr>
                  <m:sty m:val="bi"/>
                </m:rPr>
                <w:rPr>
                  <w:rFonts w:ascii="Cambria Math" w:hAnsi="Cambria Math"/>
                </w:rPr>
                <m:t>S</m:t>
              </m:r>
            </m:oMath>
            <w:r>
              <w:t xml:space="preserve">, carbon will injects power </w:t>
            </w:r>
            <m:oMath>
              <m:r>
                <m:rPr>
                  <m:sty m:val="bi"/>
                </m:rPr>
                <w:rPr>
                  <w:rFonts w:ascii="Cambria Math" w:hAnsi="Cambria Math"/>
                </w:rPr>
                <m:t>F</m:t>
              </m:r>
            </m:oMath>
            <w:r>
              <w:t xml:space="preserve">, aligning </w:t>
            </w:r>
            <w:r>
              <w:lastRenderedPageBreak/>
              <w:t xml:space="preserve">mismatch angle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0</m:t>
                  </m:r>
                </m:e>
                <m:sup>
                  <m:r>
                    <m:rPr>
                      <m:sty m:val="p"/>
                    </m:rPr>
                    <w:rPr>
                      <w:rFonts w:ascii="Cambria Math" w:hAnsi="Cambria Math"/>
                    </w:rPr>
                    <m:t>∘</m:t>
                  </m:r>
                </m:sup>
              </m:sSup>
            </m:oMath>
            <w:r>
              <w:t xml:space="preserve"> for maximum effective work</w:t>
            </w:r>
          </w:p>
        </w:tc>
      </w:tr>
      <w:tr w:rsidR="002E31FB">
        <w:tc>
          <w:tcPr>
            <w:tcW w:w="2640" w:type="dxa"/>
          </w:tcPr>
          <w:p w:rsidR="002E31FB" w:rsidRDefault="0010444F">
            <w:pPr>
              <w:pStyle w:val="Compact"/>
            </w:pPr>
            <w:r>
              <w:rPr>
                <w:b/>
                <w:bCs/>
              </w:rPr>
              <w:lastRenderedPageBreak/>
              <w:t>Deduction VIII (Evolution)</w:t>
            </w:r>
            <w:r>
              <w:t xml:space="preserve">Gödel/Turing Boundaries &amp; Metacognitive Operator </w:t>
            </w:r>
            <m:oMath>
              <m:r>
                <m:rPr>
                  <m:sty m:val="p"/>
                </m:rPr>
                <w:rPr>
                  <w:rFonts w:ascii="Cambria Math" w:hAnsi="Cambria Math"/>
                </w:rPr>
                <m:t>Φ</m:t>
              </m:r>
            </m:oMath>
          </w:p>
        </w:tc>
        <w:tc>
          <w:tcPr>
            <w:tcW w:w="2640" w:type="dxa"/>
          </w:tcPr>
          <w:p w:rsidR="002E31FB" w:rsidRDefault="0010444F">
            <w:pPr>
              <w:pStyle w:val="Compact"/>
            </w:pPr>
            <w:r>
              <w:rPr>
                <w:b/>
                <w:bCs/>
              </w:rPr>
              <w:t>Openness, Emergence, and Continuous Evolution of Open Systems</w:t>
            </w:r>
            <w:r>
              <w:t xml:space="preserve"> [1-3]</w:t>
            </w:r>
          </w:p>
        </w:tc>
        <w:tc>
          <w:tcPr>
            <w:tcW w:w="2640" w:type="dxa"/>
          </w:tcPr>
          <w:p w:rsidR="002E31FB" w:rsidRDefault="0010444F">
            <w:pPr>
              <w:pStyle w:val="Compact"/>
            </w:pPr>
            <w:r>
              <w:t xml:space="preserve">Breaking Gödel incompleteness [9] and Turing halting deadlocks [10], enabling self-evolution via metacognitive operator </w:t>
            </w:r>
            <m:oMath>
              <m:r>
                <m:rPr>
                  <m:sty m:val="p"/>
                </m:rPr>
                <w:rPr>
                  <w:rFonts w:ascii="Cambria Math" w:hAnsi="Cambria Math"/>
                </w:rPr>
                <m:t>Φ:</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cr m:val="script"/>
                      <m:sty m:val="p"/>
                    </m:rPr>
                    <w:rPr>
                      <w:rFonts w:ascii="Cambria Math" w:hAnsi="Cambria Math"/>
                    </w:rPr>
                    <m:t>K</m:t>
                  </m:r>
                </m:e>
                <m:sub>
                  <m:r>
                    <w:rPr>
                      <w:rFonts w:ascii="Cambria Math" w:hAnsi="Cambria Math"/>
                    </w:rPr>
                    <m:t>t</m:t>
                  </m:r>
                  <m:r>
                    <m:rPr>
                      <m:sty m:val="p"/>
                    </m:rPr>
                    <w:rPr>
                      <w:rFonts w:ascii="Cambria Math" w:hAnsi="Cambria Math"/>
                    </w:rPr>
                    <m:t>+</m:t>
                  </m:r>
                  <m:r>
                    <w:rPr>
                      <w:rFonts w:ascii="Cambria Math" w:hAnsi="Cambria Math"/>
                    </w:rPr>
                    <m:t>1</m:t>
                  </m:r>
                </m:sub>
              </m:sSub>
            </m:oMath>
          </w:p>
        </w:tc>
      </w:tr>
    </w:tbl>
    <w:p w:rsidR="002E31FB" w:rsidRDefault="0010444F">
      <w:r>
        <w:pict>
          <v:rect id="_x0000_i1030" style="width:0;height:1.5pt" o:hralign="center" o:hrstd="t" o:hr="t"/>
        </w:pict>
      </w:r>
    </w:p>
    <w:p w:rsidR="002E31FB" w:rsidRDefault="0010444F">
      <w:pPr>
        <w:pStyle w:val="1"/>
      </w:pPr>
      <w:bookmarkStart w:id="24" w:name="X34e128295e5ca60b113cc05e0de1e4616a0ff51"/>
      <w:bookmarkEnd w:id="23"/>
      <w:bookmarkEnd w:id="22"/>
      <w:r>
        <w:t>Part V: Conclusion &amp; Falsifiability Conditions</w:t>
      </w:r>
    </w:p>
    <w:p w:rsidR="002E31FB" w:rsidRDefault="0010444F">
      <w:pPr>
        <w:pStyle w:val="FirstParagraph"/>
      </w:pPr>
      <w:r>
        <w:t xml:space="preserve">According to Karl Popper’s standards of scientific philosophy, a rigorous scientific theoretical framework must possess explicit and independently observable hardcore falsifiability. This theory is by no means an unfalsifiable tautology, but establishes extremely strict Popperian falsifiability boundaries: </w:t>
      </w:r>
      <w:r>
        <w:rPr>
          <w:b/>
          <w:bCs/>
        </w:rPr>
        <w:t>If any of the eight deductions is violated, or if the physical carrier of the Chief Designer is missing, the system will inevitably suffer explicit and measurable catastrophic destruction in physics and cybernetics.</w:t>
      </w:r>
    </w:p>
    <w:p w:rsidR="002E31FB" w:rsidRDefault="0010444F">
      <w:pPr>
        <w:pStyle w:val="aa"/>
      </w:pPr>
      <w:r>
        <w:rPr>
          <w:b/>
          <w:bCs/>
        </w:rPr>
        <w:t>Statement on Scope and Deductive Expression of Falsifiability Conditions</w:t>
      </w:r>
      <w:r>
        <w:t>: The falsifiability conditions in this paper start from the universal perspective of Open Complex Giant Systems (OCGS) [1-4], applicable to all complex giant systems satisfying Non-IID conditions. The formation path of this theory is inductive (extracted from supply chain industrial physical practice) [11,13], but the expression path of its falsifiability conditions is deductive (deriving counterfactual boundaries from universal OCGS perspectives). Each falsifiability condition below is accompanied by empi</w:t>
      </w:r>
      <w:r>
        <w:t>rical examples across multiple OCGS domains. Enterprise governance and supply chain management represent only one fully validated typical industrial instance.</w:t>
      </w:r>
    </w:p>
    <w:p w:rsidR="002E31FB" w:rsidRDefault="0010444F">
      <w:pPr>
        <w:pStyle w:val="3"/>
      </w:pPr>
      <w:bookmarkStart w:id="25" w:name="X5643f5d89fd2ed60a85740a4bbc2f27c1c96cef"/>
      <w:r>
        <w:t>1. Physical Consequences and Hardcore Falsifiability Boundaries of Violating Eight Deductions</w:t>
      </w:r>
    </w:p>
    <w:p w:rsidR="002E31FB" w:rsidRDefault="0010444F">
      <w:pPr>
        <w:pStyle w:val="4"/>
      </w:pPr>
      <w:bookmarkStart w:id="26" w:name="Xef77a09a169a373c2cef5f57fdef7b2126bd298"/>
      <w:r>
        <w:t>1.1 Deduction I (Teleology) Falsifiability Condition: Failure of Global Governance</w:t>
      </w:r>
    </w:p>
    <w:p w:rsidR="002E31FB" w:rsidRDefault="0010444F">
      <w:pPr>
        <w:pStyle w:val="Compact"/>
        <w:numPr>
          <w:ilvl w:val="0"/>
          <w:numId w:val="7"/>
        </w:numPr>
      </w:pPr>
      <w:r>
        <w:rPr>
          <w:b/>
          <w:bCs/>
        </w:rPr>
        <w:t>Counterfactual Hypothesis (Falsification Boundary)</w:t>
      </w:r>
      <w:r>
        <w:t>: There exists a Non-IID Open Complex Giant System where, under the premise of subsystems pursuing local optima without restriction and lacking global governance, total system force naturally converges to global optimal solutions.</w:t>
      </w:r>
    </w:p>
    <w:p w:rsidR="002E31FB" w:rsidRDefault="0010444F">
      <w:pPr>
        <w:pStyle w:val="Compact"/>
        <w:numPr>
          <w:ilvl w:val="0"/>
          <w:numId w:val="7"/>
        </w:numPr>
      </w:pPr>
      <w:r>
        <w:rPr>
          <w:b/>
          <w:bCs/>
        </w:rPr>
        <w:lastRenderedPageBreak/>
        <w:t>Physics and Cybernetics Consequence</w:t>
      </w:r>
      <w:r>
        <w:t xml:space="preserve">: Local decision vectors undergo interference cancellation </w:t>
      </w:r>
      <m:oMath>
        <m:r>
          <m:rPr>
            <m:sty m:val="p"/>
          </m:rPr>
          <w:rPr>
            <w:rFonts w:ascii="Cambria Math" w:hAnsi="Cambria Math"/>
          </w:rPr>
          <m:t>∑</m:t>
        </m:r>
        <m:sSub>
          <m:sSubPr>
            <m:ctrlPr>
              <w:rPr>
                <w:rFonts w:ascii="Cambria Math" w:hAnsi="Cambria Math"/>
              </w:rPr>
            </m:ctrlPr>
          </m:sSubPr>
          <m:e>
            <m:r>
              <m:rPr>
                <m:sty m:val="bi"/>
              </m:rPr>
              <w:rPr>
                <w:rFonts w:ascii="Cambria Math" w:hAnsi="Cambria Math"/>
              </w:rPr>
              <m:t>v</m:t>
            </m:r>
          </m:e>
          <m:sub>
            <m:r>
              <w:rPr>
                <w:rFonts w:ascii="Cambria Math" w:hAnsi="Cambria Math"/>
              </w:rPr>
              <m:t>i</m:t>
            </m:r>
          </m:sub>
        </m:sSub>
        <m:r>
          <m:rPr>
            <m:sty m:val="p"/>
          </m:rPr>
          <w:rPr>
            <w:rFonts w:ascii="Cambria Math" w:hAnsi="Cambria Math"/>
          </w:rPr>
          <m:t>→</m:t>
        </m:r>
        <m:r>
          <m:rPr>
            <m:sty m:val="b"/>
          </m:rPr>
          <w:rPr>
            <w:rFonts w:ascii="Cambria Math" w:hAnsi="Cambria Math"/>
          </w:rPr>
          <m:t>0</m:t>
        </m:r>
      </m:oMath>
      <w:r>
        <w:t xml:space="preserve">, triggering system-level Brownian motion and internal friction thermal death, with effective work </w:t>
      </w:r>
      <m:oMath>
        <m:r>
          <w:rPr>
            <w:rFonts w:ascii="Cambria Math" w:hAnsi="Cambria Math"/>
          </w:rPr>
          <m:t>W</m:t>
        </m:r>
        <m:r>
          <m:rPr>
            <m:sty m:val="p"/>
          </m:rPr>
          <w:rPr>
            <w:rFonts w:ascii="Cambria Math" w:hAnsi="Cambria Math"/>
          </w:rPr>
          <m:t>→</m:t>
        </m:r>
        <m:r>
          <w:rPr>
            <w:rFonts w:ascii="Cambria Math" w:hAnsi="Cambria Math"/>
          </w:rPr>
          <m:t>0</m:t>
        </m:r>
      </m:oMath>
      <w:r>
        <w:t>.</w:t>
      </w:r>
    </w:p>
    <w:p w:rsidR="002E31FB" w:rsidRDefault="0010444F">
      <w:pPr>
        <w:pStyle w:val="Compact"/>
        <w:numPr>
          <w:ilvl w:val="0"/>
          <w:numId w:val="7"/>
        </w:numPr>
      </w:pPr>
      <w:r>
        <w:rPr>
          <w:b/>
          <w:bCs/>
        </w:rPr>
        <w:t>Observable Metric Indicators</w:t>
      </w:r>
      <w:r>
        <w:t>:</w:t>
      </w:r>
    </w:p>
    <w:p w:rsidR="002E31FB" w:rsidRDefault="0010444F">
      <w:pPr>
        <w:pStyle w:val="Compact"/>
        <w:numPr>
          <w:ilvl w:val="1"/>
          <w:numId w:val="8"/>
        </w:numPr>
      </w:pPr>
      <w:r>
        <w:rPr>
          <w:b/>
          <w:bCs/>
        </w:rPr>
        <w:t>Meteorological Systems</w:t>
      </w:r>
      <w:r>
        <w:t>: Regional weather models optimize independently; long-term prediction accuracy of global weather forecasting continuously drops, and extreme weather false-negative rates rise.</w:t>
      </w:r>
    </w:p>
    <w:p w:rsidR="002E31FB" w:rsidRDefault="0010444F">
      <w:pPr>
        <w:pStyle w:val="Compact"/>
        <w:numPr>
          <w:ilvl w:val="1"/>
          <w:numId w:val="8"/>
        </w:numPr>
      </w:pPr>
      <w:r>
        <w:rPr>
          <w:b/>
          <w:bCs/>
        </w:rPr>
        <w:t>Traffic Systems</w:t>
      </w:r>
      <w:r>
        <w:t>: Intersection traffic lights optimize independently; city-wide traffic congestion index increases instead of decreasing.</w:t>
      </w:r>
    </w:p>
    <w:p w:rsidR="002E31FB" w:rsidRDefault="0010444F">
      <w:pPr>
        <w:pStyle w:val="Compact"/>
        <w:numPr>
          <w:ilvl w:val="1"/>
          <w:numId w:val="8"/>
        </w:numPr>
      </w:pPr>
      <w:r>
        <w:rPr>
          <w:b/>
          <w:bCs/>
        </w:rPr>
        <w:t>Macroeconomics</w:t>
      </w:r>
      <w:r>
        <w:t>: Regions and industries pursue local GDP optima; overall national Total Factor Productivity (TFP) continuously declines.</w:t>
      </w:r>
    </w:p>
    <w:p w:rsidR="002E31FB" w:rsidRDefault="0010444F">
      <w:pPr>
        <w:pStyle w:val="Compact"/>
        <w:numPr>
          <w:ilvl w:val="1"/>
          <w:numId w:val="8"/>
        </w:numPr>
      </w:pPr>
      <w:r>
        <w:rPr>
          <w:b/>
          <w:bCs/>
        </w:rPr>
        <w:t>Enterprise Governance (Supply Chain)</w:t>
      </w:r>
      <w:r>
        <w:t>: Diseconomies of scale emerge; departmental KPIs are fully green, but overall enterprise ROIC and asset turnover rates decline instead of rising.</w:t>
      </w:r>
    </w:p>
    <w:p w:rsidR="002E31FB" w:rsidRDefault="0010444F">
      <w:pPr>
        <w:pStyle w:val="4"/>
      </w:pPr>
      <w:bookmarkStart w:id="27" w:name="Xac982c1094691f80f5c828145fafe5604778dda"/>
      <w:bookmarkEnd w:id="26"/>
      <w:r>
        <w:t>1.2 Deduction II (Ontology) Falsifiability Condition: Complexity Boundary Breakthrough</w:t>
      </w:r>
    </w:p>
    <w:p w:rsidR="002E31FB" w:rsidRDefault="0010444F">
      <w:pPr>
        <w:pStyle w:val="Compact"/>
        <w:numPr>
          <w:ilvl w:val="0"/>
          <w:numId w:val="9"/>
        </w:numPr>
      </w:pPr>
      <w:r>
        <w:rPr>
          <w:b/>
          <w:bCs/>
        </w:rPr>
        <w:t>Counterfactual Hypothesis (Falsification Boundary)</w:t>
      </w:r>
      <w:r>
        <w:t xml:space="preserve">: There exists a traditional computing paradigm (such as pure operations research, pure statistics, or pure AI black-box LLMs) that, without topological space dimensionality reduction and orthogonal pruning, can solve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super-factorial non-convex NP-Hard planning problems in real-time with high precision.</w:t>
      </w:r>
    </w:p>
    <w:p w:rsidR="002E31FB" w:rsidRDefault="0010444F">
      <w:pPr>
        <w:pStyle w:val="Compact"/>
        <w:numPr>
          <w:ilvl w:val="0"/>
          <w:numId w:val="9"/>
        </w:numPr>
      </w:pPr>
      <w:r>
        <w:rPr>
          <w:b/>
          <w:bCs/>
        </w:rPr>
        <w:t>Physics and Cybernetics Consequence</w:t>
      </w:r>
      <w:r>
        <w:t xml:space="preserve">: Phase space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super-factorial combinatorial explosion causes computational breakdown; solving time exceeds system physical control time window (</w:t>
      </w:r>
      <m:oMath>
        <m:r>
          <m:rPr>
            <m:sty m:val="p"/>
          </m:rPr>
          <w:rPr>
            <w:rFonts w:ascii="Cambria Math" w:hAnsi="Cambria Math"/>
          </w:rPr>
          <m:t>Δ</m:t>
        </m:r>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τ</m:t>
            </m:r>
          </m:e>
          <m:sub>
            <m:r>
              <m:rPr>
                <m:nor/>
              </m:rPr>
              <m:t>control</m:t>
            </m:r>
          </m:sub>
        </m:sSub>
      </m:oMath>
      <w:r>
        <w:t>), causing closed-loop control timing disruption.</w:t>
      </w:r>
    </w:p>
    <w:p w:rsidR="002E31FB" w:rsidRDefault="0010444F">
      <w:pPr>
        <w:pStyle w:val="Compact"/>
        <w:numPr>
          <w:ilvl w:val="0"/>
          <w:numId w:val="9"/>
        </w:numPr>
      </w:pPr>
      <w:r>
        <w:rPr>
          <w:b/>
          <w:bCs/>
        </w:rPr>
        <w:t>Observable Metric Indicators</w:t>
      </w:r>
      <w:r>
        <w:t>:</w:t>
      </w:r>
    </w:p>
    <w:p w:rsidR="002E31FB" w:rsidRDefault="0010444F">
      <w:pPr>
        <w:pStyle w:val="Compact"/>
        <w:numPr>
          <w:ilvl w:val="1"/>
          <w:numId w:val="10"/>
        </w:numPr>
      </w:pPr>
      <w:r>
        <w:rPr>
          <w:b/>
          <w:bCs/>
        </w:rPr>
        <w:t>Meteorological Systems</w:t>
      </w:r>
      <w:r>
        <w:t xml:space="preserve">: Numerical weather prediction fails to converge within time windows during </w:t>
      </w:r>
      <m:oMath>
        <m:sSup>
          <m:sSupPr>
            <m:ctrlPr>
              <w:rPr>
                <w:rFonts w:ascii="Cambria Math" w:hAnsi="Cambria Math"/>
              </w:rPr>
            </m:ctrlPr>
          </m:sSupPr>
          <m:e>
            <m:r>
              <w:rPr>
                <w:rFonts w:ascii="Cambria Math" w:hAnsi="Cambria Math"/>
              </w:rPr>
              <m:t>10</m:t>
            </m:r>
          </m:e>
          <m:sup>
            <m:r>
              <w:rPr>
                <w:rFonts w:ascii="Cambria Math" w:hAnsi="Cambria Math"/>
              </w:rPr>
              <m:t>6</m:t>
            </m:r>
          </m:sup>
        </m:sSup>
      </m:oMath>
      <w:r>
        <w:t xml:space="preserve"> grid cell solving, failing to warn extreme weather in time.</w:t>
      </w:r>
    </w:p>
    <w:p w:rsidR="002E31FB" w:rsidRDefault="0010444F">
      <w:pPr>
        <w:pStyle w:val="Compact"/>
        <w:numPr>
          <w:ilvl w:val="1"/>
          <w:numId w:val="10"/>
        </w:numPr>
      </w:pPr>
      <w:r>
        <w:rPr>
          <w:b/>
          <w:bCs/>
        </w:rPr>
        <w:t>Traffic Systems</w:t>
      </w:r>
      <w:r>
        <w:t xml:space="preserve">: City-wide traffic flow optimization crashes during real-time dispatching of </w:t>
      </w:r>
      <m:oMath>
        <m:sSup>
          <m:sSupPr>
            <m:ctrlPr>
              <w:rPr>
                <w:rFonts w:ascii="Cambria Math" w:hAnsi="Cambria Math"/>
              </w:rPr>
            </m:ctrlPr>
          </m:sSupPr>
          <m:e>
            <m:r>
              <w:rPr>
                <w:rFonts w:ascii="Cambria Math" w:hAnsi="Cambria Math"/>
              </w:rPr>
              <m:t>10</m:t>
            </m:r>
          </m:e>
          <m:sup>
            <m:r>
              <w:rPr>
                <w:rFonts w:ascii="Cambria Math" w:hAnsi="Cambria Math"/>
              </w:rPr>
              <m:t>5</m:t>
            </m:r>
          </m:sup>
        </m:sSup>
      </m:oMath>
      <w:r>
        <w:t xml:space="preserve"> nodes, signal timing failing to respond to live traffic.</w:t>
      </w:r>
    </w:p>
    <w:p w:rsidR="002E31FB" w:rsidRDefault="0010444F">
      <w:pPr>
        <w:pStyle w:val="Compact"/>
        <w:numPr>
          <w:ilvl w:val="1"/>
          <w:numId w:val="10"/>
        </w:numPr>
      </w:pPr>
      <w:r>
        <w:rPr>
          <w:b/>
          <w:bCs/>
        </w:rPr>
        <w:t>Macroeconomics</w:t>
      </w:r>
      <w:r>
        <w:t>: Multi-sector Dynamic Stochastic General Equilibrium (DSGE) models diverge during impulse response solving across millions of variables, rendering policy effects unpredictable.</w:t>
      </w:r>
    </w:p>
    <w:p w:rsidR="002E31FB" w:rsidRDefault="0010444F">
      <w:pPr>
        <w:pStyle w:val="Compact"/>
        <w:numPr>
          <w:ilvl w:val="1"/>
          <w:numId w:val="10"/>
        </w:numPr>
      </w:pPr>
      <w:r>
        <w:rPr>
          <w:b/>
          <w:bCs/>
        </w:rPr>
        <w:t>Enterprise Governance (Supply Chain)</w:t>
      </w:r>
      <w:r>
        <w:t>: APS or planning engines take over 8 hours to solve under 500,000 discrete demands without convergence, causing production schedules to collapse.</w:t>
      </w:r>
    </w:p>
    <w:p w:rsidR="002E31FB" w:rsidRDefault="0010444F">
      <w:pPr>
        <w:pStyle w:val="4"/>
      </w:pPr>
      <w:bookmarkStart w:id="28" w:name="Xba6653f94cf0ee0a2c910f1a7ea1c10ecd62533"/>
      <w:bookmarkEnd w:id="27"/>
      <w:r>
        <w:lastRenderedPageBreak/>
        <w:t>1.3 Deduction III (Methodology) Falsifiability Condition: Ontological Isomorphism Disruption</w:t>
      </w:r>
    </w:p>
    <w:p w:rsidR="002E31FB" w:rsidRDefault="0010444F">
      <w:pPr>
        <w:pStyle w:val="Compact"/>
        <w:numPr>
          <w:ilvl w:val="0"/>
          <w:numId w:val="11"/>
        </w:numPr>
      </w:pPr>
      <w:r>
        <w:rPr>
          <w:b/>
          <w:bCs/>
        </w:rPr>
        <w:t>Counterfactual Hypothesis (Falsification Boundary)</w:t>
      </w:r>
      <w:r>
        <w:t>: There exists a governance system whose data models and evolutionary algorithms exist independently of physical business operations, yet can achieve zero-latency closed-loop control in Non-IID dynamic non-stationary systems.</w:t>
      </w:r>
    </w:p>
    <w:p w:rsidR="002E31FB" w:rsidRDefault="0010444F">
      <w:pPr>
        <w:pStyle w:val="Compact"/>
        <w:numPr>
          <w:ilvl w:val="0"/>
          <w:numId w:val="11"/>
        </w:numPr>
      </w:pPr>
      <w:r>
        <w:rPr>
          <w:b/>
          <w:bCs/>
        </w:rPr>
        <w:t>Physics and Cybernetics Consequence</w:t>
      </w:r>
      <w:r>
        <w:t>: Control interfaces and physical phase spaces generate topological dimensional fault lines, distorting information transfer and creating high-order control lags and business-IT decoupling (“two separate sheets”).</w:t>
      </w:r>
    </w:p>
    <w:p w:rsidR="002E31FB" w:rsidRDefault="0010444F">
      <w:pPr>
        <w:pStyle w:val="Compact"/>
        <w:numPr>
          <w:ilvl w:val="0"/>
          <w:numId w:val="11"/>
        </w:numPr>
      </w:pPr>
      <w:r>
        <w:rPr>
          <w:b/>
          <w:bCs/>
        </w:rPr>
        <w:t>Observable Metric Indicators</w:t>
      </w:r>
      <w:r>
        <w:t>:</w:t>
      </w:r>
    </w:p>
    <w:p w:rsidR="002E31FB" w:rsidRDefault="0010444F">
      <w:pPr>
        <w:pStyle w:val="Compact"/>
        <w:numPr>
          <w:ilvl w:val="1"/>
          <w:numId w:val="12"/>
        </w:numPr>
      </w:pPr>
      <w:r>
        <w:rPr>
          <w:b/>
          <w:bCs/>
        </w:rPr>
        <w:t>Meteorological Systems</w:t>
      </w:r>
      <w:r>
        <w:t>: Meteorological data structures decouple from atmospheric physical dynamic equations, producing physically contradictory forecast results.</w:t>
      </w:r>
    </w:p>
    <w:p w:rsidR="002E31FB" w:rsidRDefault="0010444F">
      <w:pPr>
        <w:pStyle w:val="Compact"/>
        <w:numPr>
          <w:ilvl w:val="1"/>
          <w:numId w:val="12"/>
        </w:numPr>
      </w:pPr>
      <w:r>
        <w:rPr>
          <w:b/>
          <w:bCs/>
        </w:rPr>
        <w:t>Traffic Systems</w:t>
      </w:r>
      <w:r>
        <w:t>: Traffic simulation data models decouple from real-time road topology, creating dispatch instructions that mismatch physical vehicle flows.</w:t>
      </w:r>
    </w:p>
    <w:p w:rsidR="002E31FB" w:rsidRDefault="0010444F">
      <w:pPr>
        <w:pStyle w:val="Compact"/>
        <w:numPr>
          <w:ilvl w:val="1"/>
          <w:numId w:val="12"/>
        </w:numPr>
      </w:pPr>
      <w:r>
        <w:rPr>
          <w:b/>
          <w:bCs/>
        </w:rPr>
        <w:t>Macroeconomics</w:t>
      </w:r>
      <w:r>
        <w:t>: Policy model data structures decouple from micro-agent behavioral logic, producing policy outcomes completely contrary to expectations.</w:t>
      </w:r>
    </w:p>
    <w:p w:rsidR="002E31FB" w:rsidRDefault="0010444F">
      <w:pPr>
        <w:pStyle w:val="Compact"/>
        <w:numPr>
          <w:ilvl w:val="1"/>
          <w:numId w:val="12"/>
        </w:numPr>
      </w:pPr>
      <w:r>
        <w:rPr>
          <w:b/>
          <w:bCs/>
        </w:rPr>
        <w:t>Enterprise Governance (Supply Chain)</w:t>
      </w:r>
      <w:r>
        <w:t>: Systems claim “successful deployment,” while shop floors and dispatch sites still rely on manual Excel ledgers and manual intervention back-writing.</w:t>
      </w:r>
    </w:p>
    <w:p w:rsidR="002E31FB" w:rsidRDefault="0010444F">
      <w:pPr>
        <w:pStyle w:val="4"/>
      </w:pPr>
      <w:bookmarkStart w:id="29" w:name="X75c622dbc124258195d779c558060bc8e66f650"/>
      <w:bookmarkEnd w:id="28"/>
      <w:r>
        <w:t>1.4 Deduction IV (Capability) Falsifiability Condition: Failure of Carbon-Silicon Compensation</w:t>
      </w:r>
    </w:p>
    <w:p w:rsidR="002E31FB" w:rsidRDefault="0010444F">
      <w:pPr>
        <w:pStyle w:val="Compact"/>
        <w:numPr>
          <w:ilvl w:val="0"/>
          <w:numId w:val="13"/>
        </w:numPr>
      </w:pPr>
      <w:r>
        <w:rPr>
          <w:b/>
          <w:bCs/>
        </w:rPr>
        <w:t>Counterfactual Hypothesis (Falsification Boundary)</w:t>
      </w:r>
      <w:r>
        <w:t>: There exists a team composed purely of carbon-based experts who, without introducing silicon-based high-frequency compute compensation, can intuitively infer all-domain high-frequency strong coupling relationships and make real-time decisions across millions of variables within milliseconds.</w:t>
      </w:r>
    </w:p>
    <w:p w:rsidR="002E31FB" w:rsidRDefault="0010444F">
      <w:pPr>
        <w:pStyle w:val="Compact"/>
        <w:numPr>
          <w:ilvl w:val="0"/>
          <w:numId w:val="13"/>
        </w:numPr>
      </w:pPr>
      <w:r>
        <w:rPr>
          <w:b/>
          <w:bCs/>
        </w:rPr>
        <w:t>Physics and Cybernetics Consequence</w:t>
      </w:r>
      <w:r>
        <w:t xml:space="preserve">: Carbon-based human brain neural channels overflow (cognitive latency far exceeds micro-phase transition cycles </w:t>
      </w:r>
      <m:oMath>
        <m:sSub>
          <m:sSubPr>
            <m:ctrlPr>
              <w:rPr>
                <w:rFonts w:ascii="Cambria Math" w:hAnsi="Cambria Math"/>
              </w:rPr>
            </m:ctrlPr>
          </m:sSubPr>
          <m:e>
            <m:r>
              <w:rPr>
                <w:rFonts w:ascii="Cambria Math" w:hAnsi="Cambria Math"/>
              </w:rPr>
              <m:t>τ</m:t>
            </m:r>
          </m:e>
          <m:sub>
            <m:r>
              <m:rPr>
                <m:nor/>
              </m:rPr>
              <m:t>human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phase</m:t>
            </m:r>
          </m:sub>
        </m:sSub>
      </m:oMath>
      <w:r>
        <w:t>), generating systemic cognitive bias and decision lag.</w:t>
      </w:r>
    </w:p>
    <w:p w:rsidR="002E31FB" w:rsidRDefault="0010444F">
      <w:pPr>
        <w:pStyle w:val="Compact"/>
        <w:numPr>
          <w:ilvl w:val="0"/>
          <w:numId w:val="13"/>
        </w:numPr>
      </w:pPr>
      <w:r>
        <w:rPr>
          <w:b/>
          <w:bCs/>
        </w:rPr>
        <w:t>Observable Metric Indicators</w:t>
      </w:r>
      <w:r>
        <w:t>:</w:t>
      </w:r>
    </w:p>
    <w:p w:rsidR="002E31FB" w:rsidRDefault="0010444F">
      <w:pPr>
        <w:pStyle w:val="Compact"/>
        <w:numPr>
          <w:ilvl w:val="1"/>
          <w:numId w:val="14"/>
        </w:numPr>
      </w:pPr>
      <w:r>
        <w:rPr>
          <w:b/>
          <w:bCs/>
        </w:rPr>
        <w:t>Meteorological Systems</w:t>
      </w:r>
      <w:r>
        <w:t>: Forecasters rely entirely on human experience, unable to complete global weather model real-time updates within hours.</w:t>
      </w:r>
    </w:p>
    <w:p w:rsidR="002E31FB" w:rsidRDefault="0010444F">
      <w:pPr>
        <w:pStyle w:val="Compact"/>
        <w:numPr>
          <w:ilvl w:val="1"/>
          <w:numId w:val="14"/>
        </w:numPr>
      </w:pPr>
      <w:r>
        <w:rPr>
          <w:b/>
          <w:bCs/>
        </w:rPr>
        <w:t>Traffic Systems</w:t>
      </w:r>
      <w:r>
        <w:t>: Dispatchers rely entirely on human experience, unable to respond in real-time to dynamic route planning for millions of vehicles.</w:t>
      </w:r>
    </w:p>
    <w:p w:rsidR="002E31FB" w:rsidRDefault="0010444F">
      <w:pPr>
        <w:pStyle w:val="Compact"/>
        <w:numPr>
          <w:ilvl w:val="1"/>
          <w:numId w:val="14"/>
        </w:numPr>
      </w:pPr>
      <w:r>
        <w:rPr>
          <w:b/>
          <w:bCs/>
        </w:rPr>
        <w:lastRenderedPageBreak/>
        <w:t>Macroeconomics</w:t>
      </w:r>
      <w:r>
        <w:t>: Policymakers rely entirely on intuition, unable to track real-time behavioral shifts of tens of millions of market entities.</w:t>
      </w:r>
    </w:p>
    <w:p w:rsidR="002E31FB" w:rsidRDefault="0010444F">
      <w:pPr>
        <w:pStyle w:val="Compact"/>
        <w:numPr>
          <w:ilvl w:val="1"/>
          <w:numId w:val="14"/>
        </w:numPr>
      </w:pPr>
      <w:r>
        <w:rPr>
          <w:b/>
          <w:bCs/>
        </w:rPr>
        <w:t>Enterprise Governance (Supply Chain)</w:t>
      </w:r>
      <w:r>
        <w:t>: Planners manually modify hundreds of orders daily and hold midnight meetings, yet delivery response and punctuality rates plummet violently.</w:t>
      </w:r>
    </w:p>
    <w:p w:rsidR="002E31FB" w:rsidRDefault="0010444F">
      <w:pPr>
        <w:pStyle w:val="4"/>
      </w:pPr>
      <w:bookmarkStart w:id="30" w:name="X86279ea323a5bdbc9f37ddc671cf5c4bd8b5e4f"/>
      <w:bookmarkEnd w:id="29"/>
      <w:r>
        <w:t>1.5 Deduction V (Mechanism) Falsifiability Condition: Absence of Department of Overall Design</w:t>
      </w:r>
    </w:p>
    <w:p w:rsidR="002E31FB" w:rsidRDefault="0010444F">
      <w:pPr>
        <w:pStyle w:val="Compact"/>
        <w:numPr>
          <w:ilvl w:val="0"/>
          <w:numId w:val="15"/>
        </w:numPr>
      </w:pPr>
      <w:r>
        <w:rPr>
          <w:b/>
          <w:bCs/>
        </w:rPr>
        <w:t>Counterfactual Hypothesis (Falsification Boundary)</w:t>
      </w:r>
      <w:r>
        <w:t>: There exists a complex giant system that, lacking a Department of Overall Design and HWME Hall System, can generate logically self-consistent global optimal solutions purely through free gaming and negotiation among self-interested stakeholders.</w:t>
      </w:r>
    </w:p>
    <w:p w:rsidR="002E31FB" w:rsidRDefault="0010444F">
      <w:pPr>
        <w:pStyle w:val="Compact"/>
        <w:numPr>
          <w:ilvl w:val="0"/>
          <w:numId w:val="15"/>
        </w:numPr>
      </w:pPr>
      <w:r>
        <w:rPr>
          <w:b/>
          <w:bCs/>
        </w:rPr>
        <w:t>Physics and Cybernetics Consequence</w:t>
      </w:r>
      <w:r>
        <w:t>: Arrow’s Impossibility Theorem [8] under non-homogeneous preferences and Nash deadlocks take effect; unilateral changes harm local interests, trapping the system in non-cooperative gaming internal friction.</w:t>
      </w:r>
    </w:p>
    <w:p w:rsidR="002E31FB" w:rsidRDefault="0010444F">
      <w:pPr>
        <w:pStyle w:val="Compact"/>
        <w:numPr>
          <w:ilvl w:val="0"/>
          <w:numId w:val="15"/>
        </w:numPr>
      </w:pPr>
      <w:r>
        <w:rPr>
          <w:b/>
          <w:bCs/>
        </w:rPr>
        <w:t>Observable Metric Indicators</w:t>
      </w:r>
      <w:r>
        <w:t>:</w:t>
      </w:r>
    </w:p>
    <w:p w:rsidR="002E31FB" w:rsidRDefault="0010444F">
      <w:pPr>
        <w:pStyle w:val="Compact"/>
        <w:numPr>
          <w:ilvl w:val="1"/>
          <w:numId w:val="16"/>
        </w:numPr>
      </w:pPr>
      <w:r>
        <w:rPr>
          <w:b/>
          <w:bCs/>
        </w:rPr>
        <w:t>Meteorological Systems</w:t>
      </w:r>
      <w:r>
        <w:t>: National meteorological agencies act independently; global climate governance negotiations stall long-term.</w:t>
      </w:r>
    </w:p>
    <w:p w:rsidR="002E31FB" w:rsidRDefault="0010444F">
      <w:pPr>
        <w:pStyle w:val="Compact"/>
        <w:numPr>
          <w:ilvl w:val="1"/>
          <w:numId w:val="16"/>
        </w:numPr>
      </w:pPr>
      <w:r>
        <w:rPr>
          <w:b/>
          <w:bCs/>
        </w:rPr>
        <w:t>Traffic Systems</w:t>
      </w:r>
      <w:r>
        <w:t>: Transportation stakeholders (buses, private cars, ride-hailing) game freely; city-level traffic dispatch fails to form global optimal schemes.</w:t>
      </w:r>
    </w:p>
    <w:p w:rsidR="002E31FB" w:rsidRDefault="0010444F">
      <w:pPr>
        <w:pStyle w:val="Compact"/>
        <w:numPr>
          <w:ilvl w:val="1"/>
          <w:numId w:val="16"/>
        </w:numPr>
      </w:pPr>
      <w:r>
        <w:rPr>
          <w:b/>
          <w:bCs/>
        </w:rPr>
        <w:t>Macroeconomics</w:t>
      </w:r>
      <w:r>
        <w:t>: National fiscal and monetary policies act independently, plunging global economic governance into long-term imbalance.</w:t>
      </w:r>
    </w:p>
    <w:p w:rsidR="002E31FB" w:rsidRDefault="0010444F">
      <w:pPr>
        <w:pStyle w:val="Compact"/>
        <w:numPr>
          <w:ilvl w:val="1"/>
          <w:numId w:val="16"/>
        </w:numPr>
      </w:pPr>
      <w:r>
        <w:rPr>
          <w:b/>
          <w:bCs/>
        </w:rPr>
        <w:t>Enterprise Governance (Supply Chain)</w:t>
      </w:r>
      <w:r>
        <w:t>: Cross-departmental coordination meetings degenerate into blame-shifting sessions; governance decisions fail to land for years.</w:t>
      </w:r>
    </w:p>
    <w:p w:rsidR="002E31FB" w:rsidRDefault="0010444F">
      <w:pPr>
        <w:pStyle w:val="4"/>
      </w:pPr>
      <w:bookmarkStart w:id="31" w:name="X2c2e40c8748d5650f2384d553e7aded6ce7c5ca"/>
      <w:bookmarkEnd w:id="30"/>
      <w:r>
        <w:t>1.6 Deduction VI (Pathway) Falsifiability Condition: Pure Top-Down System Construction</w:t>
      </w:r>
    </w:p>
    <w:p w:rsidR="002E31FB" w:rsidRDefault="0010444F">
      <w:pPr>
        <w:pStyle w:val="Compact"/>
        <w:numPr>
          <w:ilvl w:val="0"/>
          <w:numId w:val="17"/>
        </w:numPr>
      </w:pPr>
      <w:r>
        <w:rPr>
          <w:b/>
          <w:bCs/>
        </w:rPr>
        <w:t>Counterfactual Hypothesis (Falsification Boundary)</w:t>
      </w:r>
      <w:r>
        <w:t>: There exists a governance system that, under unobservable and un-rewritable underlying execution nodes, can achieve precise closed-loop control relying solely on top-down top-level design.</w:t>
      </w:r>
    </w:p>
    <w:p w:rsidR="002E31FB" w:rsidRDefault="0010444F">
      <w:pPr>
        <w:pStyle w:val="Compact"/>
        <w:numPr>
          <w:ilvl w:val="0"/>
          <w:numId w:val="17"/>
        </w:numPr>
      </w:pPr>
      <w:r>
        <w:rPr>
          <w:b/>
          <w:bCs/>
        </w:rPr>
        <w:t>Physics and Cybernetics Consequence</w:t>
      </w:r>
      <w:r>
        <w:t>: Wiener’s Cybernetic Boundary Constraint [5,6] takes effect (</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t>); underlying feedback loops sever, top-level strategies become castles in the air.</w:t>
      </w:r>
    </w:p>
    <w:p w:rsidR="002E31FB" w:rsidRDefault="0010444F">
      <w:pPr>
        <w:pStyle w:val="Compact"/>
        <w:numPr>
          <w:ilvl w:val="0"/>
          <w:numId w:val="17"/>
        </w:numPr>
      </w:pPr>
      <w:r>
        <w:rPr>
          <w:b/>
          <w:bCs/>
        </w:rPr>
        <w:t>Observable Metric Indicators</w:t>
      </w:r>
      <w:r>
        <w:t>:</w:t>
      </w:r>
    </w:p>
    <w:p w:rsidR="002E31FB" w:rsidRDefault="0010444F">
      <w:pPr>
        <w:pStyle w:val="Compact"/>
        <w:numPr>
          <w:ilvl w:val="1"/>
          <w:numId w:val="18"/>
        </w:numPr>
      </w:pPr>
      <w:r>
        <w:rPr>
          <w:b/>
          <w:bCs/>
        </w:rPr>
        <w:lastRenderedPageBreak/>
        <w:t>Meteorological Systems</w:t>
      </w:r>
      <w:r>
        <w:t>: Global climate models cannot access real-time data from ocean and atmospheric boundary layers, causing long-term climate predictions to diverge.</w:t>
      </w:r>
    </w:p>
    <w:p w:rsidR="002E31FB" w:rsidRDefault="0010444F">
      <w:pPr>
        <w:pStyle w:val="Compact"/>
        <w:numPr>
          <w:ilvl w:val="1"/>
          <w:numId w:val="18"/>
        </w:numPr>
      </w:pPr>
      <w:r>
        <w:rPr>
          <w:b/>
          <w:bCs/>
        </w:rPr>
        <w:t>Traffic Systems</w:t>
      </w:r>
      <w:r>
        <w:t>: City traffic command centers cannot obtain real-time positions of individual vehicles, rendering precision dispatching impossible.</w:t>
      </w:r>
    </w:p>
    <w:p w:rsidR="002E31FB" w:rsidRDefault="0010444F">
      <w:pPr>
        <w:pStyle w:val="Compact"/>
        <w:numPr>
          <w:ilvl w:val="1"/>
          <w:numId w:val="18"/>
        </w:numPr>
      </w:pPr>
      <w:r>
        <w:rPr>
          <w:b/>
          <w:bCs/>
        </w:rPr>
        <w:t>Macroeconomics</w:t>
      </w:r>
      <w:r>
        <w:t>: Macroeconomic policymakers cannot obtain micro-behavioral data from millions of market entities, making policy effectiveness unevaluable.</w:t>
      </w:r>
    </w:p>
    <w:p w:rsidR="002E31FB" w:rsidRDefault="0010444F">
      <w:pPr>
        <w:pStyle w:val="Compact"/>
        <w:numPr>
          <w:ilvl w:val="1"/>
          <w:numId w:val="18"/>
        </w:numPr>
      </w:pPr>
      <w:r>
        <w:rPr>
          <w:b/>
          <w:bCs/>
        </w:rPr>
        <w:t>Enterprise Governance (Supply Chain)</w:t>
      </w:r>
      <w:r>
        <w:t>: Executive strategy briefings occur frequently, but shop-floor work order execution continues unchanged, completely decoupling strategy from physical execution.</w:t>
      </w:r>
    </w:p>
    <w:p w:rsidR="002E31FB" w:rsidRDefault="0010444F">
      <w:pPr>
        <w:pStyle w:val="4"/>
      </w:pPr>
      <w:bookmarkStart w:id="32" w:name="X6a7f377a9278abbd81d1aab471f28c8559bb93f"/>
      <w:bookmarkEnd w:id="31"/>
      <w:r>
        <w:t>1.7 Deduction VII (Power/Dynamics) Falsifiability Condition: Strategic Will Orthogonal to Physical Logic</w:t>
      </w:r>
    </w:p>
    <w:p w:rsidR="002E31FB" w:rsidRDefault="0010444F">
      <w:pPr>
        <w:pStyle w:val="Compact"/>
        <w:numPr>
          <w:ilvl w:val="0"/>
          <w:numId w:val="19"/>
        </w:numPr>
      </w:pPr>
      <w:r>
        <w:rPr>
          <w:b/>
          <w:bCs/>
        </w:rPr>
        <w:t>Counterfactual Hypothesis (Falsification Boundary)</w:t>
      </w:r>
      <w:r>
        <w:t xml:space="preserve">: There exists a system where, under strategic will vector </w:t>
      </w:r>
      <m:oMath>
        <m:r>
          <m:rPr>
            <m:sty m:val="bi"/>
          </m:rPr>
          <w:rPr>
            <w:rFonts w:ascii="Cambria Math" w:hAnsi="Cambria Math"/>
          </w:rPr>
          <m:t>F</m:t>
        </m:r>
      </m:oMath>
      <w:r>
        <w:t xml:space="preserve"> being strictly orthogonal to physical logic vector </w:t>
      </w:r>
      <m:oMath>
        <m:r>
          <m:rPr>
            <m:sty m:val="bi"/>
          </m:rPr>
          <w:rPr>
            <w:rFonts w:ascii="Cambria Math" w:hAnsi="Cambria Math"/>
          </w:rPr>
          <m:t>S</m:t>
        </m:r>
      </m:oMath>
      <w:r>
        <w:t xml:space="preserve"> (</w:t>
      </w:r>
      <m:oMath>
        <m:r>
          <w:rPr>
            <w:rFonts w:ascii="Cambria Math" w:hAnsi="Cambria Math"/>
          </w:rPr>
          <m:t>θ</m:t>
        </m:r>
        <m:r>
          <m:rPr>
            <m:sty m:val="p"/>
          </m:rPr>
          <w:rPr>
            <w:rFonts w:ascii="Cambria Math" w:hAnsi="Cambria Math"/>
          </w:rPr>
          <m:t>→</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oMath>
      <w:r>
        <w:t>), effective work can still be produced.</w:t>
      </w:r>
    </w:p>
    <w:p w:rsidR="002E31FB" w:rsidRDefault="0010444F">
      <w:pPr>
        <w:pStyle w:val="Compact"/>
        <w:numPr>
          <w:ilvl w:val="0"/>
          <w:numId w:val="19"/>
        </w:numPr>
      </w:pPr>
      <w:r>
        <w:rPr>
          <w:b/>
          <w:bCs/>
        </w:rPr>
        <w:t>Physics and Cybernetics Consequence</w:t>
      </w:r>
      <w:r>
        <w:t>: Scalar product work equals zero (</w:t>
      </w:r>
      <m:oMath>
        <m:r>
          <w:rPr>
            <w:rFonts w:ascii="Cambria Math" w:hAnsi="Cambria Math"/>
          </w:rPr>
          <m:t>W</m:t>
        </m:r>
        <m:r>
          <m:rPr>
            <m:sty m:val="p"/>
          </m:rPr>
          <w:rPr>
            <w:rFonts w:ascii="Cambria Math" w:hAnsi="Cambria Math"/>
          </w:rPr>
          <m:t>=∥</m:t>
        </m:r>
        <m:r>
          <m:rPr>
            <m:sty m:val="bi"/>
          </m:rPr>
          <w:rPr>
            <w:rFonts w:ascii="Cambria Math" w:hAnsi="Cambria Math"/>
          </w:rPr>
          <m:t>F</m:t>
        </m:r>
        <m:r>
          <m:rPr>
            <m:sty m:val="p"/>
          </m:rPr>
          <w:rPr>
            <w:rFonts w:ascii="Cambria Math" w:hAnsi="Cambria Math"/>
          </w:rPr>
          <m:t>∥∥</m:t>
        </m:r>
        <m:r>
          <m:rPr>
            <m:sty m:val="bi"/>
          </m:rPr>
          <w:rPr>
            <w:rFonts w:ascii="Cambria Math" w:hAnsi="Cambria Math"/>
          </w:rPr>
          <m:t>S</m:t>
        </m:r>
        <m:r>
          <m:rPr>
            <m:sty m:val="p"/>
          </m:rPr>
          <w:rPr>
            <w:rFonts w:ascii="Cambria Math" w:hAnsi="Cambria Math"/>
          </w:rPr>
          <m:t>∥cos</m:t>
        </m:r>
        <m:sSup>
          <m:sSupPr>
            <m:ctrlPr>
              <w:rPr>
                <w:rFonts w:ascii="Cambria Math" w:hAnsi="Cambria Math"/>
              </w:rPr>
            </m:ctrlPr>
          </m:sSupPr>
          <m:e>
            <m:r>
              <w:rPr>
                <w:rFonts w:ascii="Cambria Math" w:hAnsi="Cambria Math"/>
              </w:rPr>
              <m:t>90</m:t>
            </m:r>
          </m:e>
          <m:sup>
            <m:r>
              <m:rPr>
                <m:sty m:val="p"/>
              </m:rPr>
              <w:rPr>
                <w:rFonts w:ascii="Cambria Math" w:hAnsi="Cambria Math"/>
              </w:rPr>
              <m:t>∘</m:t>
            </m:r>
          </m:sup>
        </m:sSup>
        <m:r>
          <m:rPr>
            <m:sty m:val="p"/>
          </m:rPr>
          <w:rPr>
            <w:rFonts w:ascii="Cambria Math" w:hAnsi="Cambria Math"/>
          </w:rPr>
          <m:t>=</m:t>
        </m:r>
        <m:r>
          <w:rPr>
            <w:rFonts w:ascii="Cambria Math" w:hAnsi="Cambria Math"/>
          </w:rPr>
          <m:t>0</m:t>
        </m:r>
      </m:oMath>
      <w:r>
        <w:t>), management energy degrades completely into internal friction waste heat.</w:t>
      </w:r>
    </w:p>
    <w:p w:rsidR="002E31FB" w:rsidRDefault="0010444F">
      <w:pPr>
        <w:pStyle w:val="Compact"/>
        <w:numPr>
          <w:ilvl w:val="0"/>
          <w:numId w:val="19"/>
        </w:numPr>
      </w:pPr>
      <w:r>
        <w:rPr>
          <w:b/>
          <w:bCs/>
        </w:rPr>
        <w:t>Observable Metric Indicators</w:t>
      </w:r>
      <w:r>
        <w:t>:</w:t>
      </w:r>
    </w:p>
    <w:p w:rsidR="002E31FB" w:rsidRDefault="0010444F">
      <w:pPr>
        <w:pStyle w:val="Compact"/>
        <w:numPr>
          <w:ilvl w:val="1"/>
          <w:numId w:val="20"/>
        </w:numPr>
      </w:pPr>
      <w:r>
        <w:rPr>
          <w:b/>
          <w:bCs/>
        </w:rPr>
        <w:t>Meteorological Systems</w:t>
      </w:r>
      <w:r>
        <w:t>: Policy directives mandate “weather modification” orthogonal to atmospheric physics laws, producing zero effect or harmful side effects.</w:t>
      </w:r>
    </w:p>
    <w:p w:rsidR="002E31FB" w:rsidRDefault="0010444F">
      <w:pPr>
        <w:pStyle w:val="Compact"/>
        <w:numPr>
          <w:ilvl w:val="1"/>
          <w:numId w:val="20"/>
        </w:numPr>
      </w:pPr>
      <w:r>
        <w:rPr>
          <w:b/>
          <w:bCs/>
        </w:rPr>
        <w:t>Traffic Systems</w:t>
      </w:r>
      <w:r>
        <w:t>: Administrative mandates enforce “license plate restriction for congestion” orthogonal to traffic flow physics, aggravating congestion.</w:t>
      </w:r>
    </w:p>
    <w:p w:rsidR="002E31FB" w:rsidRDefault="0010444F">
      <w:pPr>
        <w:pStyle w:val="Compact"/>
        <w:numPr>
          <w:ilvl w:val="1"/>
          <w:numId w:val="20"/>
        </w:numPr>
      </w:pPr>
      <w:r>
        <w:rPr>
          <w:b/>
          <w:bCs/>
        </w:rPr>
        <w:t>Macroeconomics</w:t>
      </w:r>
      <w:r>
        <w:t>: Stimulus policies orthogonal to rational expectations of market agents are completely offset by market actions.</w:t>
      </w:r>
    </w:p>
    <w:p w:rsidR="002E31FB" w:rsidRDefault="0010444F">
      <w:pPr>
        <w:pStyle w:val="Compact"/>
        <w:numPr>
          <w:ilvl w:val="1"/>
          <w:numId w:val="20"/>
        </w:numPr>
      </w:pPr>
      <w:r>
        <w:rPr>
          <w:b/>
          <w:bCs/>
        </w:rPr>
        <w:t>Enterprise Governance (Supply Chain)</w:t>
      </w:r>
      <w:r>
        <w:t>: The more aggressively top leadership pushes reform, the more violent internal organizational resistance becomes, amplifying resistance exponentially.</w:t>
      </w:r>
    </w:p>
    <w:p w:rsidR="002E31FB" w:rsidRDefault="0010444F">
      <w:pPr>
        <w:pStyle w:val="4"/>
      </w:pPr>
      <w:bookmarkStart w:id="33" w:name="Xfeee817bc14a40fc4cc8ad493b4df3882d659f2"/>
      <w:bookmarkEnd w:id="32"/>
      <w:r>
        <w:t>1.8 Deduction VIII (Evolution) Falsifiability Condition: Closed Axiomatic System</w:t>
      </w:r>
    </w:p>
    <w:p w:rsidR="002E31FB" w:rsidRDefault="0010444F">
      <w:pPr>
        <w:pStyle w:val="Compact"/>
        <w:numPr>
          <w:ilvl w:val="0"/>
          <w:numId w:val="21"/>
        </w:numPr>
      </w:pPr>
      <w:r>
        <w:rPr>
          <w:b/>
          <w:bCs/>
        </w:rPr>
        <w:t>Counterfactual Hypothesis (Falsification Boundary)</w:t>
      </w:r>
      <w:r>
        <w:t xml:space="preserve">: There exists a finite axiomatic closed system that, without introducing metacognitive operator </w:t>
      </w:r>
      <m:oMath>
        <m:r>
          <m:rPr>
            <m:sty m:val="p"/>
          </m:rPr>
          <w:rPr>
            <w:rFonts w:ascii="Cambria Math" w:hAnsi="Cambria Math"/>
          </w:rPr>
          <m:t>Φ</m:t>
        </m:r>
      </m:oMath>
      <w:r>
        <w:t>, can self-prove completeness and automatically break through all Gödel/Turing deadlocks.</w:t>
      </w:r>
    </w:p>
    <w:p w:rsidR="002E31FB" w:rsidRDefault="0010444F">
      <w:pPr>
        <w:pStyle w:val="Compact"/>
        <w:numPr>
          <w:ilvl w:val="0"/>
          <w:numId w:val="21"/>
        </w:numPr>
      </w:pPr>
      <w:r>
        <w:rPr>
          <w:b/>
          <w:bCs/>
        </w:rPr>
        <w:t>Physics and Cybernetics Consequence</w:t>
      </w:r>
      <w:r>
        <w:t xml:space="preserve">: Gödel’s Incompleteness Theorem [9] and Turing’s Halting Problem [10] take effect; the system fails to achieve </w:t>
      </w:r>
      <w:r>
        <w:lastRenderedPageBreak/>
        <w:t>endogenous axiomatic reconstruction and self-healing under extreme phase transitions.</w:t>
      </w:r>
    </w:p>
    <w:p w:rsidR="002E31FB" w:rsidRDefault="0010444F">
      <w:pPr>
        <w:pStyle w:val="Compact"/>
        <w:numPr>
          <w:ilvl w:val="0"/>
          <w:numId w:val="21"/>
        </w:numPr>
      </w:pPr>
      <w:r>
        <w:rPr>
          <w:b/>
          <w:bCs/>
        </w:rPr>
        <w:t>Observable Metric Indicators</w:t>
      </w:r>
      <w:r>
        <w:t>:</w:t>
      </w:r>
    </w:p>
    <w:p w:rsidR="002E31FB" w:rsidRDefault="0010444F">
      <w:pPr>
        <w:pStyle w:val="Compact"/>
        <w:numPr>
          <w:ilvl w:val="1"/>
          <w:numId w:val="22"/>
        </w:numPr>
      </w:pPr>
      <w:r>
        <w:rPr>
          <w:b/>
          <w:bCs/>
        </w:rPr>
        <w:t>Meteorological Systems</w:t>
      </w:r>
      <w:r>
        <w:t>: Numerical forecast models facing unprecedented climate shocks fail to self-update physical parameterization schemes, crashing directly.</w:t>
      </w:r>
    </w:p>
    <w:p w:rsidR="002E31FB" w:rsidRDefault="0010444F">
      <w:pPr>
        <w:pStyle w:val="Compact"/>
        <w:numPr>
          <w:ilvl w:val="1"/>
          <w:numId w:val="22"/>
        </w:numPr>
      </w:pPr>
      <w:r>
        <w:rPr>
          <w:b/>
          <w:bCs/>
        </w:rPr>
        <w:t>Traffic Systems</w:t>
      </w:r>
      <w:r>
        <w:t>: Traffic dispatch algorithms facing extreme weather or major accidents fail to self-adjust dispatch rules, deadlocking directly.</w:t>
      </w:r>
    </w:p>
    <w:p w:rsidR="002E31FB" w:rsidRDefault="0010444F">
      <w:pPr>
        <w:pStyle w:val="Compact"/>
        <w:numPr>
          <w:ilvl w:val="1"/>
          <w:numId w:val="22"/>
        </w:numPr>
      </w:pPr>
      <w:r>
        <w:rPr>
          <w:b/>
          <w:bCs/>
        </w:rPr>
        <w:t>Macroeconomics</w:t>
      </w:r>
      <w:r>
        <w:t>: Macro control models facing war or pandemic shocks fail to rewrite model assumptions, rendering policy tools invalid.</w:t>
      </w:r>
    </w:p>
    <w:p w:rsidR="002E31FB" w:rsidRDefault="0010444F">
      <w:pPr>
        <w:pStyle w:val="Compact"/>
        <w:numPr>
          <w:ilvl w:val="1"/>
          <w:numId w:val="22"/>
        </w:numPr>
      </w:pPr>
      <w:r>
        <w:rPr>
          <w:b/>
          <w:bCs/>
        </w:rPr>
        <w:t>Enterprise Governance (Supply Chain)</w:t>
      </w:r>
      <w:r>
        <w:t>: Systems freeze rules within six months of deployment, directly locking and crashing when encountering supply chain disruptions or new business scenarios.</w:t>
      </w:r>
    </w:p>
    <w:p w:rsidR="002E31FB" w:rsidRDefault="0010444F">
      <w:pPr>
        <w:pStyle w:val="4"/>
      </w:pPr>
      <w:bookmarkStart w:id="34" w:name="X128a67260dd45c5f64f05877df40d7f57f0228c"/>
      <w:bookmarkEnd w:id="33"/>
      <w:r>
        <w:t>1.9 Lack of Fusion Capability: Most Fatal Physical Falsifiability Condition (Monobrain Singularity of Chief Designer)</w:t>
      </w:r>
    </w:p>
    <w:p w:rsidR="002E31FB" w:rsidRDefault="0010444F">
      <w:pPr>
        <w:pStyle w:val="Compact"/>
        <w:numPr>
          <w:ilvl w:val="0"/>
          <w:numId w:val="23"/>
        </w:numPr>
      </w:pPr>
      <w:r>
        <w:rPr>
          <w:b/>
          <w:bCs/>
        </w:rPr>
        <w:t>Counterfactual Hypothesis (Falsification Boundary)</w:t>
      </w:r>
      <w:r>
        <w:t>: In a Non-IID strongly coupled complex giant system, when the Chief Designer position transitions, if the successor lacks 3-in-1 integration capabilities across “Business + Data + Architecture” (i.e., lacks Monobrain Singularity capability), the system can still maintain global governance and closed-loop computability.</w:t>
      </w:r>
    </w:p>
    <w:p w:rsidR="002E31FB" w:rsidRDefault="0010444F">
      <w:pPr>
        <w:pStyle w:val="Compact"/>
        <w:numPr>
          <w:ilvl w:val="0"/>
          <w:numId w:val="23"/>
        </w:numPr>
      </w:pPr>
      <w:r>
        <w:rPr>
          <w:b/>
          <w:bCs/>
        </w:rPr>
        <w:t>Physics and Cybernetics Consequence</w:t>
      </w:r>
      <w:r>
        <w:t>: Cross-domain metacognitive reconstruction capability is missing; algorithmic structures lose physical carriers, causing structural entropy increase and dissipative collapse.</w:t>
      </w:r>
    </w:p>
    <w:p w:rsidR="002E31FB" w:rsidRDefault="0010444F">
      <w:pPr>
        <w:pStyle w:val="Compact"/>
        <w:numPr>
          <w:ilvl w:val="0"/>
          <w:numId w:val="23"/>
        </w:numPr>
      </w:pPr>
      <w:r>
        <w:rPr>
          <w:b/>
          <w:bCs/>
        </w:rPr>
        <w:t>Observable Metric Indicators</w:t>
      </w:r>
      <w:r>
        <w:t>:</w:t>
      </w:r>
    </w:p>
    <w:p w:rsidR="002E31FB" w:rsidRDefault="0010444F">
      <w:pPr>
        <w:pStyle w:val="Compact"/>
        <w:numPr>
          <w:ilvl w:val="1"/>
          <w:numId w:val="24"/>
        </w:numPr>
      </w:pPr>
      <w:r>
        <w:rPr>
          <w:b/>
          <w:bCs/>
        </w:rPr>
        <w:t>Meteorological Systems</w:t>
      </w:r>
      <w:r>
        <w:t>: Lacking a Chief Designer who simultaneously understands atmospheric physics, numerical algorithms, and observation systems, global climate models stall long-term.</w:t>
      </w:r>
    </w:p>
    <w:p w:rsidR="002E31FB" w:rsidRDefault="0010444F">
      <w:pPr>
        <w:pStyle w:val="Compact"/>
        <w:numPr>
          <w:ilvl w:val="1"/>
          <w:numId w:val="24"/>
        </w:numPr>
      </w:pPr>
      <w:r>
        <w:rPr>
          <w:b/>
          <w:bCs/>
        </w:rPr>
        <w:t>Traffic Systems</w:t>
      </w:r>
      <w:r>
        <w:t>: Lacking a Chief Designer who simultaneously understands traffic flow theory, signal control, and real-time communications, city-level intelligent transportation fails to land.</w:t>
      </w:r>
    </w:p>
    <w:p w:rsidR="002E31FB" w:rsidRDefault="0010444F">
      <w:pPr>
        <w:pStyle w:val="Compact"/>
        <w:numPr>
          <w:ilvl w:val="1"/>
          <w:numId w:val="24"/>
        </w:numPr>
      </w:pPr>
      <w:r>
        <w:rPr>
          <w:b/>
          <w:bCs/>
        </w:rPr>
        <w:t>Macroeconomics</w:t>
      </w:r>
      <w:r>
        <w:t>: Lacking a Chief Designer who simultaneously understands micro-behaviors, macro-models, and policy tools, economic governance remains passively reactive.</w:t>
      </w:r>
    </w:p>
    <w:p w:rsidR="002E31FB" w:rsidRDefault="0010444F">
      <w:pPr>
        <w:pStyle w:val="Compact"/>
        <w:numPr>
          <w:ilvl w:val="1"/>
          <w:numId w:val="24"/>
        </w:numPr>
      </w:pPr>
      <w:r>
        <w:rPr>
          <w:b/>
          <w:bCs/>
        </w:rPr>
        <w:t>Enterprise Governance (Supply Chain)</w:t>
      </w:r>
      <w:r>
        <w:t>: When the Chief Designer position transitions, if the successor possesses single-dimensional capabilities (pure business, pure IT, or pure data), system autonomous decision and execution success rates plummet precipitously within months; conversely, if the successor possesses complete 3-in-1 fusion capability, system survival continues.</w:t>
      </w:r>
    </w:p>
    <w:p w:rsidR="002E31FB" w:rsidRDefault="0010444F">
      <w:pPr>
        <w:pStyle w:val="FirstParagraph"/>
      </w:pPr>
      <w:r>
        <w:lastRenderedPageBreak/>
        <w:t>Without Monobrain Singularity, there is no global governance of Non-IID systems; without global governance, system dissipation is inevitable. This is the most unshakeable physical baseline of this theory.</w:t>
      </w:r>
    </w:p>
    <w:p w:rsidR="002E31FB" w:rsidRDefault="0010444F">
      <w:r>
        <w:pict>
          <v:rect id="_x0000_i1031" style="width:0;height:1.5pt" o:hralign="center" o:hrstd="t" o:hr="t"/>
        </w:pict>
      </w:r>
    </w:p>
    <w:p w:rsidR="002E31FB" w:rsidRDefault="0010444F">
      <w:pPr>
        <w:pStyle w:val="3"/>
      </w:pPr>
      <w:bookmarkStart w:id="35" w:name="X2d1a2cdd07abd9a3e575dd4ad87a49bef639bc4"/>
      <w:bookmarkEnd w:id="34"/>
      <w:bookmarkEnd w:id="25"/>
      <w:r>
        <w:t>2. Cross-Domain OCGS Physical Consequences &amp; Observable Metrics Alignment Table</w:t>
      </w:r>
    </w:p>
    <w:tbl>
      <w:tblPr>
        <w:tblStyle w:val="Table"/>
        <w:tblW w:w="5000" w:type="pct"/>
        <w:tblLayout w:type="fixed"/>
        <w:tblLook w:val="0020" w:firstRow="1" w:lastRow="0" w:firstColumn="0" w:lastColumn="0" w:noHBand="0" w:noVBand="0"/>
      </w:tblPr>
      <w:tblGrid>
        <w:gridCol w:w="2310"/>
        <w:gridCol w:w="2311"/>
        <w:gridCol w:w="2311"/>
        <w:gridCol w:w="2311"/>
      </w:tblGrid>
      <w:tr w:rsidR="002E31FB" w:rsidTr="002E31FB">
        <w:trPr>
          <w:cnfStyle w:val="100000000000" w:firstRow="1" w:lastRow="0" w:firstColumn="0" w:lastColumn="0" w:oddVBand="0" w:evenVBand="0" w:oddHBand="0" w:evenHBand="0" w:firstRowFirstColumn="0" w:firstRowLastColumn="0" w:lastRowFirstColumn="0" w:lastRowLastColumn="0"/>
          <w:tblHeader/>
        </w:trPr>
        <w:tc>
          <w:tcPr>
            <w:tcW w:w="1980" w:type="dxa"/>
          </w:tcPr>
          <w:p w:rsidR="002E31FB" w:rsidRDefault="0010444F">
            <w:pPr>
              <w:pStyle w:val="Compact"/>
            </w:pPr>
            <w:r>
              <w:t>Falsification Proposition</w:t>
            </w:r>
          </w:p>
        </w:tc>
        <w:tc>
          <w:tcPr>
            <w:tcW w:w="1980" w:type="dxa"/>
          </w:tcPr>
          <w:p w:rsidR="002E31FB" w:rsidRDefault="0010444F">
            <w:pPr>
              <w:pStyle w:val="Compact"/>
            </w:pPr>
            <w:r>
              <w:t>Violated Deduction</w:t>
            </w:r>
          </w:p>
        </w:tc>
        <w:tc>
          <w:tcPr>
            <w:tcW w:w="1980" w:type="dxa"/>
          </w:tcPr>
          <w:p w:rsidR="002E31FB" w:rsidRDefault="0010444F">
            <w:pPr>
              <w:pStyle w:val="Compact"/>
            </w:pPr>
            <w:r>
              <w:t>Universal OCGS Physics &amp; Cybernetics Consequence</w:t>
            </w:r>
          </w:p>
        </w:tc>
        <w:tc>
          <w:tcPr>
            <w:tcW w:w="1980" w:type="dxa"/>
          </w:tcPr>
          <w:p w:rsidR="002E31FB" w:rsidRDefault="0010444F">
            <w:pPr>
              <w:pStyle w:val="Compact"/>
            </w:pPr>
            <w:r>
              <w:t>Cross-Domain Observable Metric Indicators</w:t>
            </w:r>
          </w:p>
        </w:tc>
      </w:tr>
      <w:tr w:rsidR="002E31FB">
        <w:tc>
          <w:tcPr>
            <w:tcW w:w="1980" w:type="dxa"/>
          </w:tcPr>
          <w:p w:rsidR="002E31FB" w:rsidRDefault="0010444F">
            <w:pPr>
              <w:pStyle w:val="Compact"/>
            </w:pPr>
            <w:r>
              <w:rPr>
                <w:b/>
                <w:bCs/>
              </w:rPr>
              <w:t>Global Governance Failure</w:t>
            </w:r>
          </w:p>
        </w:tc>
        <w:tc>
          <w:tcPr>
            <w:tcW w:w="1980" w:type="dxa"/>
          </w:tcPr>
          <w:p w:rsidR="002E31FB" w:rsidRDefault="0010444F">
            <w:pPr>
              <w:pStyle w:val="Compact"/>
            </w:pPr>
            <w:r>
              <w:t>Deduction I (Teleology)</w:t>
            </w:r>
          </w:p>
        </w:tc>
        <w:tc>
          <w:tcPr>
            <w:tcW w:w="1980" w:type="dxa"/>
          </w:tcPr>
          <w:p w:rsidR="002E31FB" w:rsidRDefault="0010444F">
            <w:pPr>
              <w:pStyle w:val="Compact"/>
            </w:pPr>
            <w:r>
              <w:t xml:space="preserve">Vector cancellation, effective work </w:t>
            </w:r>
            <m:oMath>
              <m:r>
                <w:rPr>
                  <w:rFonts w:ascii="Cambria Math" w:hAnsi="Cambria Math"/>
                </w:rPr>
                <m:t>W</m:t>
              </m:r>
              <m:r>
                <m:rPr>
                  <m:sty m:val="p"/>
                </m:rPr>
                <w:rPr>
                  <w:rFonts w:ascii="Cambria Math" w:hAnsi="Cambria Math"/>
                </w:rPr>
                <m:t>→</m:t>
              </m:r>
              <m:r>
                <w:rPr>
                  <w:rFonts w:ascii="Cambria Math" w:hAnsi="Cambria Math"/>
                </w:rPr>
                <m:t>0</m:t>
              </m:r>
            </m:oMath>
          </w:p>
        </w:tc>
        <w:tc>
          <w:tcPr>
            <w:tcW w:w="1980" w:type="dxa"/>
          </w:tcPr>
          <w:p w:rsidR="002E31FB" w:rsidRDefault="0010444F">
            <w:pPr>
              <w:pStyle w:val="Compact"/>
            </w:pPr>
            <w:r>
              <w:t>Met: Regional models optimize independently, accuracy drops; Traf: Intersection lights optimize independently, congestion rises; Econ: Local GDP optimal, national TFP plummets; SC: Diseconomies of scale emerge, KPIs green but ROIC &amp; turnover drop</w:t>
            </w:r>
          </w:p>
        </w:tc>
      </w:tr>
      <w:tr w:rsidR="002E31FB">
        <w:tc>
          <w:tcPr>
            <w:tcW w:w="1980" w:type="dxa"/>
          </w:tcPr>
          <w:p w:rsidR="002E31FB" w:rsidRDefault="0010444F">
            <w:pPr>
              <w:pStyle w:val="Compact"/>
            </w:pPr>
            <w:r>
              <w:rPr>
                <w:b/>
                <w:bCs/>
              </w:rPr>
              <w:t>Complexity Boundary Breakthrough</w:t>
            </w:r>
          </w:p>
        </w:tc>
        <w:tc>
          <w:tcPr>
            <w:tcW w:w="1980" w:type="dxa"/>
          </w:tcPr>
          <w:p w:rsidR="002E31FB" w:rsidRDefault="0010444F">
            <w:pPr>
              <w:pStyle w:val="Compact"/>
            </w:pPr>
            <w:r>
              <w:t>Deduction II (Ontology)</w:t>
            </w:r>
          </w:p>
        </w:tc>
        <w:tc>
          <w:tcPr>
            <w:tcW w:w="1980" w:type="dxa"/>
          </w:tcPr>
          <w:p w:rsidR="002E31FB" w:rsidRDefault="0010444F">
            <w:pPr>
              <w:pStyle w:val="Compact"/>
            </w:pPr>
            <w:r>
              <w:t xml:space="preserve">Phase space </w:t>
            </w:r>
            <m:oMath>
              <m:r>
                <w:rPr>
                  <w:rFonts w:ascii="Cambria Math" w:hAnsi="Cambria Math"/>
                </w:rPr>
                <m:t>O</m:t>
              </m:r>
              <m:r>
                <m:rPr>
                  <m:sty m:val="p"/>
                </m:rPr>
                <w:rPr>
                  <w:rFonts w:ascii="Cambria Math" w:hAnsi="Cambria Math"/>
                </w:rPr>
                <m:t>(</m:t>
              </m:r>
              <m:r>
                <w:rPr>
                  <w:rFonts w:ascii="Cambria Math" w:hAnsi="Cambria Math"/>
                </w:rPr>
                <m:t>N</m:t>
              </m:r>
              <m:r>
                <m:rPr>
                  <m:sty m:val="p"/>
                </m:rPr>
                <w:rPr>
                  <w:rFonts w:ascii="Cambria Math" w:hAnsi="Cambria Math"/>
                </w:rPr>
                <m:t>!)</m:t>
              </m:r>
            </m:oMath>
            <w:r>
              <w:t xml:space="preserve"> explosion, exceeds time window </w:t>
            </w:r>
            <m:oMath>
              <m:r>
                <m:rPr>
                  <m:sty m:val="p"/>
                </m:rPr>
                <w:rPr>
                  <w:rFonts w:ascii="Cambria Math" w:hAnsi="Cambria Math"/>
                </w:rPr>
                <m:t>Δ</m:t>
              </m:r>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τ</m:t>
                  </m:r>
                </m:e>
                <m:sub>
                  <m:r>
                    <m:rPr>
                      <m:nor/>
                    </m:rPr>
                    <m:t>control</m:t>
                  </m:r>
                </m:sub>
              </m:sSub>
            </m:oMath>
          </w:p>
        </w:tc>
        <w:tc>
          <w:tcPr>
            <w:tcW w:w="1980" w:type="dxa"/>
          </w:tcPr>
          <w:p w:rsidR="002E31FB" w:rsidRDefault="0010444F">
            <w:pPr>
              <w:pStyle w:val="Compact"/>
            </w:pPr>
            <w:r>
              <w:t xml:space="preserve">Met: Grid cell solving fails to converge; Traf: City network dispatch collapses; Econ: DSGE models diverge; SC: APS solving </w:t>
            </w:r>
            <m:oMath>
              <m:r>
                <m:rPr>
                  <m:sty m:val="p"/>
                </m:rPr>
                <w:rPr>
                  <w:rFonts w:ascii="Cambria Math" w:hAnsi="Cambria Math"/>
                </w:rPr>
                <m:t>&gt;</m:t>
              </m:r>
              <m:r>
                <w:rPr>
                  <w:rFonts w:ascii="Cambria Math" w:hAnsi="Cambria Math"/>
                </w:rPr>
                <m:t>8</m:t>
              </m:r>
            </m:oMath>
            <w:r>
              <w:t xml:space="preserve"> hours without convergence</w:t>
            </w:r>
          </w:p>
        </w:tc>
      </w:tr>
      <w:tr w:rsidR="002E31FB">
        <w:tc>
          <w:tcPr>
            <w:tcW w:w="1980" w:type="dxa"/>
          </w:tcPr>
          <w:p w:rsidR="002E31FB" w:rsidRDefault="0010444F">
            <w:pPr>
              <w:pStyle w:val="Compact"/>
            </w:pPr>
            <w:r>
              <w:rPr>
                <w:b/>
                <w:bCs/>
              </w:rPr>
              <w:t>Ontological Isomorphism Disruption</w:t>
            </w:r>
          </w:p>
        </w:tc>
        <w:tc>
          <w:tcPr>
            <w:tcW w:w="1980" w:type="dxa"/>
          </w:tcPr>
          <w:p w:rsidR="002E31FB" w:rsidRDefault="0010444F">
            <w:pPr>
              <w:pStyle w:val="Compact"/>
            </w:pPr>
            <w:r>
              <w:t>Deduction III (Methodology)</w:t>
            </w:r>
          </w:p>
        </w:tc>
        <w:tc>
          <w:tcPr>
            <w:tcW w:w="1980" w:type="dxa"/>
          </w:tcPr>
          <w:p w:rsidR="002E31FB" w:rsidRDefault="0010444F">
            <w:pPr>
              <w:pStyle w:val="Compact"/>
            </w:pPr>
            <w:r>
              <w:t>Interface dimensional fault line, info distortion</w:t>
            </w:r>
          </w:p>
        </w:tc>
        <w:tc>
          <w:tcPr>
            <w:tcW w:w="1980" w:type="dxa"/>
          </w:tcPr>
          <w:p w:rsidR="002E31FB" w:rsidRDefault="0010444F">
            <w:pPr>
              <w:pStyle w:val="Compact"/>
            </w:pPr>
            <w:r>
              <w:t xml:space="preserve">Met: Model decouples from physics equations; Traf: Simulation decouples from road network; </w:t>
            </w:r>
            <w:r>
              <w:lastRenderedPageBreak/>
              <w:t>Econ: Policy model decouples from micro-behavior; SC: System deployed, shop floor uses Excel</w:t>
            </w:r>
          </w:p>
        </w:tc>
      </w:tr>
      <w:tr w:rsidR="002E31FB">
        <w:tc>
          <w:tcPr>
            <w:tcW w:w="1980" w:type="dxa"/>
          </w:tcPr>
          <w:p w:rsidR="002E31FB" w:rsidRDefault="0010444F">
            <w:pPr>
              <w:pStyle w:val="Compact"/>
            </w:pPr>
            <w:r>
              <w:rPr>
                <w:b/>
                <w:bCs/>
              </w:rPr>
              <w:lastRenderedPageBreak/>
              <w:t>Carbon-Silicon Compensation Failure</w:t>
            </w:r>
          </w:p>
        </w:tc>
        <w:tc>
          <w:tcPr>
            <w:tcW w:w="1980" w:type="dxa"/>
          </w:tcPr>
          <w:p w:rsidR="002E31FB" w:rsidRDefault="0010444F">
            <w:pPr>
              <w:pStyle w:val="Compact"/>
            </w:pPr>
            <w:r>
              <w:t>Deduction IV (Capability)</w:t>
            </w:r>
          </w:p>
        </w:tc>
        <w:tc>
          <w:tcPr>
            <w:tcW w:w="1980" w:type="dxa"/>
          </w:tcPr>
          <w:p w:rsidR="002E31FB" w:rsidRDefault="0010444F">
            <w:pPr>
              <w:pStyle w:val="Compact"/>
            </w:pPr>
            <w:r>
              <w:t xml:space="preserve">Carbon overload </w:t>
            </w:r>
            <m:oMath>
              <m:sSub>
                <m:sSubPr>
                  <m:ctrlPr>
                    <w:rPr>
                      <w:rFonts w:ascii="Cambria Math" w:hAnsi="Cambria Math"/>
                    </w:rPr>
                  </m:ctrlPr>
                </m:sSubPr>
                <m:e>
                  <m:r>
                    <w:rPr>
                      <w:rFonts w:ascii="Cambria Math" w:hAnsi="Cambria Math"/>
                    </w:rPr>
                    <m:t>τ</m:t>
                  </m:r>
                </m:e>
                <m:sub>
                  <m:r>
                    <m:rPr>
                      <m:nor/>
                    </m:rPr>
                    <m:t>human</m:t>
                  </m:r>
                </m:sub>
              </m:sSub>
              <m:r>
                <m:rPr>
                  <m:sty m:val="p"/>
                </m:rPr>
                <w:rPr>
                  <w:rFonts w:ascii="Cambria Math" w:hAnsi="Cambria Math"/>
                </w:rPr>
                <m:t>≫</m:t>
              </m:r>
              <m:sSub>
                <m:sSubPr>
                  <m:ctrlPr>
                    <w:rPr>
                      <w:rFonts w:ascii="Cambria Math" w:hAnsi="Cambria Math"/>
                    </w:rPr>
                  </m:ctrlPr>
                </m:sSubPr>
                <m:e>
                  <m:r>
                    <w:rPr>
                      <w:rFonts w:ascii="Cambria Math" w:hAnsi="Cambria Math"/>
                    </w:rPr>
                    <m:t>τ</m:t>
                  </m:r>
                </m:e>
                <m:sub>
                  <m:r>
                    <m:rPr>
                      <m:nor/>
                    </m:rPr>
                    <m:t>phase</m:t>
                  </m:r>
                </m:sub>
              </m:sSub>
            </m:oMath>
            <w:r>
              <w:t>, decision lag</w:t>
            </w:r>
          </w:p>
        </w:tc>
        <w:tc>
          <w:tcPr>
            <w:tcW w:w="1980" w:type="dxa"/>
          </w:tcPr>
          <w:p w:rsidR="002E31FB" w:rsidRDefault="0010444F">
            <w:pPr>
              <w:pStyle w:val="Compact"/>
            </w:pPr>
            <w:r>
              <w:t>Met: Manual forecast cannot update global model in real time; Traf: Manual dispatch cannot handle 1M vehicles; Econ: Intuitive decisions cannot track 10M entities; SC: Order modifications hundreds daily, delivery plummets</w:t>
            </w:r>
          </w:p>
        </w:tc>
      </w:tr>
      <w:tr w:rsidR="002E31FB">
        <w:tc>
          <w:tcPr>
            <w:tcW w:w="1980" w:type="dxa"/>
          </w:tcPr>
          <w:p w:rsidR="002E31FB" w:rsidRDefault="0010444F">
            <w:pPr>
              <w:pStyle w:val="Compact"/>
            </w:pPr>
            <w:r>
              <w:rPr>
                <w:b/>
                <w:bCs/>
              </w:rPr>
              <w:t>Absence of Overall Design Dept</w:t>
            </w:r>
          </w:p>
        </w:tc>
        <w:tc>
          <w:tcPr>
            <w:tcW w:w="1980" w:type="dxa"/>
          </w:tcPr>
          <w:p w:rsidR="002E31FB" w:rsidRDefault="0010444F">
            <w:pPr>
              <w:pStyle w:val="Compact"/>
            </w:pPr>
            <w:r>
              <w:t>Deduction V (Mechanism)</w:t>
            </w:r>
          </w:p>
        </w:tc>
        <w:tc>
          <w:tcPr>
            <w:tcW w:w="1980" w:type="dxa"/>
          </w:tcPr>
          <w:p w:rsidR="002E31FB" w:rsidRDefault="0010444F">
            <w:pPr>
              <w:pStyle w:val="Compact"/>
            </w:pPr>
            <w:r>
              <w:t>Arrow Impossibility Theorem, Nash deadlock</w:t>
            </w:r>
          </w:p>
        </w:tc>
        <w:tc>
          <w:tcPr>
            <w:tcW w:w="1980" w:type="dxa"/>
          </w:tcPr>
          <w:p w:rsidR="002E31FB" w:rsidRDefault="0010444F">
            <w:pPr>
              <w:pStyle w:val="Compact"/>
            </w:pPr>
            <w:r>
              <w:t>Met: Global climate negotiations stall; Traf: Multi-agent free gaming lacks global optimum; Econ: National policies act independently; SC: Cross-dept coordination degenerates into blame-shifting</w:t>
            </w:r>
          </w:p>
        </w:tc>
      </w:tr>
      <w:tr w:rsidR="002E31FB">
        <w:tc>
          <w:tcPr>
            <w:tcW w:w="1980" w:type="dxa"/>
          </w:tcPr>
          <w:p w:rsidR="002E31FB" w:rsidRDefault="0010444F">
            <w:pPr>
              <w:pStyle w:val="Compact"/>
            </w:pPr>
            <w:r>
              <w:rPr>
                <w:b/>
                <w:bCs/>
              </w:rPr>
              <w:t>Pure Top-Down System Building</w:t>
            </w:r>
          </w:p>
        </w:tc>
        <w:tc>
          <w:tcPr>
            <w:tcW w:w="1980" w:type="dxa"/>
          </w:tcPr>
          <w:p w:rsidR="002E31FB" w:rsidRDefault="0010444F">
            <w:pPr>
              <w:pStyle w:val="Compact"/>
            </w:pPr>
            <w:r>
              <w:t>Deduction VI (Pathway)</w:t>
            </w:r>
          </w:p>
        </w:tc>
        <w:tc>
          <w:tcPr>
            <w:tcW w:w="1980" w:type="dxa"/>
          </w:tcPr>
          <w:p w:rsidR="002E31FB" w:rsidRDefault="0010444F">
            <w:pPr>
              <w:pStyle w:val="Compact"/>
            </w:pPr>
            <w:r>
              <w:t>Wiener boundary failure (</w:t>
            </w:r>
            <m:oMath>
              <m:r>
                <m:rPr>
                  <m:sty m:val="p"/>
                </m:rPr>
                <w:rPr>
                  <w:rFonts w:ascii="Cambria Math" w:hAnsi="Cambria Math"/>
                </w:rPr>
                <m:t>dim</m:t>
              </m:r>
              <m:r>
                <m:rPr>
                  <m:scr m:val="script"/>
                  <m:sty m:val="p"/>
                </m:rPr>
                <w:rPr>
                  <w:rFonts w:ascii="Cambria Math" w:hAnsi="Cambria Math"/>
                </w:rPr>
                <m:t>C</m:t>
              </m:r>
              <m:r>
                <m:rPr>
                  <m:sty m:val="p"/>
                </m:rPr>
                <w:rPr>
                  <w:rFonts w:ascii="Cambria Math" w:hAnsi="Cambria Math"/>
                </w:rPr>
                <m:t>≤dim</m:t>
              </m:r>
              <m:r>
                <m:rPr>
                  <m:scr m:val="script"/>
                  <m:sty m:val="p"/>
                </m:rPr>
                <w:rPr>
                  <w:rFonts w:ascii="Cambria Math" w:hAnsi="Cambria Math"/>
                </w:rPr>
                <m:t>O</m:t>
              </m:r>
            </m:oMath>
            <w:r>
              <w:t>), strategy idle</w:t>
            </w:r>
          </w:p>
        </w:tc>
        <w:tc>
          <w:tcPr>
            <w:tcW w:w="1980" w:type="dxa"/>
          </w:tcPr>
          <w:p w:rsidR="002E31FB" w:rsidRDefault="0010444F">
            <w:pPr>
              <w:pStyle w:val="Compact"/>
            </w:pPr>
            <w:r>
              <w:t xml:space="preserve">Met: Lacks ocean boundary data, long-term prediction diverges; Traf: Lacks vehicle data, </w:t>
            </w:r>
            <w:r>
              <w:lastRenderedPageBreak/>
              <w:t>precision dispatch fails; Econ: Lacks micro-data, policy unevaluable; SC: Strategic briefings frequent, shop floor unchanged</w:t>
            </w:r>
          </w:p>
        </w:tc>
      </w:tr>
      <w:tr w:rsidR="002E31FB">
        <w:tc>
          <w:tcPr>
            <w:tcW w:w="1980" w:type="dxa"/>
          </w:tcPr>
          <w:p w:rsidR="002E31FB" w:rsidRDefault="0010444F">
            <w:pPr>
              <w:pStyle w:val="Compact"/>
            </w:pPr>
            <w:r>
              <w:rPr>
                <w:b/>
                <w:bCs/>
              </w:rPr>
              <w:lastRenderedPageBreak/>
              <w:t>Strategic Will Orthogonal to Logic</w:t>
            </w:r>
          </w:p>
        </w:tc>
        <w:tc>
          <w:tcPr>
            <w:tcW w:w="1980" w:type="dxa"/>
          </w:tcPr>
          <w:p w:rsidR="002E31FB" w:rsidRDefault="0010444F">
            <w:pPr>
              <w:pStyle w:val="Compact"/>
            </w:pPr>
            <w:r>
              <w:t>Deduction VII (Power)</w:t>
            </w:r>
          </w:p>
        </w:tc>
        <w:tc>
          <w:tcPr>
            <w:tcW w:w="1980" w:type="dxa"/>
          </w:tcPr>
          <w:p w:rsidR="002E31FB" w:rsidRDefault="0010444F">
            <w:pPr>
              <w:pStyle w:val="Compact"/>
            </w:pPr>
            <w:r>
              <w:t xml:space="preserve">Scalar product zero </w:t>
            </w:r>
            <m:oMath>
              <m:r>
                <w:rPr>
                  <w:rFonts w:ascii="Cambria Math" w:hAnsi="Cambria Math"/>
                </w:rPr>
                <m:t>W</m:t>
              </m:r>
              <m:r>
                <m:rPr>
                  <m:sty m:val="p"/>
                </m:rPr>
                <w:rPr>
                  <w:rFonts w:ascii="Cambria Math" w:hAnsi="Cambria Math"/>
                </w:rPr>
                <m:t>→</m:t>
              </m:r>
              <m:r>
                <w:rPr>
                  <w:rFonts w:ascii="Cambria Math" w:hAnsi="Cambria Math"/>
                </w:rPr>
                <m:t>0</m:t>
              </m:r>
            </m:oMath>
            <w:r>
              <w:t>, energy turns to waste heat</w:t>
            </w:r>
          </w:p>
        </w:tc>
        <w:tc>
          <w:tcPr>
            <w:tcW w:w="1980" w:type="dxa"/>
          </w:tcPr>
          <w:p w:rsidR="002E31FB" w:rsidRDefault="0010444F">
            <w:pPr>
              <w:pStyle w:val="Compact"/>
            </w:pPr>
            <w:r>
              <w:t>Met: Weather modification orthogonal to physics, useless/harmful; Traf: License restriction orthogonal to traffic physics, worsens congestion; Econ: Stimulus orthogonal to rational expectations, offset; SC: Top leader aggressive, resistance amplifies</w:t>
            </w:r>
          </w:p>
        </w:tc>
      </w:tr>
      <w:tr w:rsidR="002E31FB">
        <w:tc>
          <w:tcPr>
            <w:tcW w:w="1980" w:type="dxa"/>
          </w:tcPr>
          <w:p w:rsidR="002E31FB" w:rsidRDefault="0010444F">
            <w:pPr>
              <w:pStyle w:val="Compact"/>
            </w:pPr>
            <w:r>
              <w:rPr>
                <w:b/>
                <w:bCs/>
              </w:rPr>
              <w:t>Closed Axiomatic System</w:t>
            </w:r>
          </w:p>
        </w:tc>
        <w:tc>
          <w:tcPr>
            <w:tcW w:w="1980" w:type="dxa"/>
          </w:tcPr>
          <w:p w:rsidR="002E31FB" w:rsidRDefault="0010444F">
            <w:pPr>
              <w:pStyle w:val="Compact"/>
            </w:pPr>
            <w:r>
              <w:t>Deduction VIII (Evolution)</w:t>
            </w:r>
          </w:p>
        </w:tc>
        <w:tc>
          <w:tcPr>
            <w:tcW w:w="1980" w:type="dxa"/>
          </w:tcPr>
          <w:p w:rsidR="002E31FB" w:rsidRDefault="0010444F">
            <w:pPr>
              <w:pStyle w:val="Compact"/>
            </w:pPr>
            <w:r>
              <w:t>Gödel/Turing deadlocks, cannot self-heal</w:t>
            </w:r>
          </w:p>
        </w:tc>
        <w:tc>
          <w:tcPr>
            <w:tcW w:w="1980" w:type="dxa"/>
          </w:tcPr>
          <w:p w:rsidR="002E31FB" w:rsidRDefault="0010444F">
            <w:pPr>
              <w:pStyle w:val="Compact"/>
            </w:pPr>
            <w:r>
              <w:t xml:space="preserve">Met: Climate shock occurs, model parameterization cannot self-update; Traf: Extreme event occurs, dispatch rules lock up; Econ: War/pandemic shock, policy models fail; SC: </w:t>
            </w:r>
            <w:r>
              <w:lastRenderedPageBreak/>
              <w:t>Rules freeze in 6 months, crashes on new scenarios</w:t>
            </w:r>
          </w:p>
        </w:tc>
      </w:tr>
      <w:tr w:rsidR="002E31FB">
        <w:tc>
          <w:tcPr>
            <w:tcW w:w="1980" w:type="dxa"/>
          </w:tcPr>
          <w:p w:rsidR="002E31FB" w:rsidRDefault="0010444F">
            <w:pPr>
              <w:pStyle w:val="Compact"/>
            </w:pPr>
            <w:r>
              <w:rPr>
                <w:b/>
                <w:bCs/>
              </w:rPr>
              <w:lastRenderedPageBreak/>
              <w:t>Absence of Chief Designer</w:t>
            </w:r>
          </w:p>
        </w:tc>
        <w:tc>
          <w:tcPr>
            <w:tcW w:w="1980" w:type="dxa"/>
          </w:tcPr>
          <w:p w:rsidR="002E31FB" w:rsidRDefault="0010444F">
            <w:pPr>
              <w:pStyle w:val="Compact"/>
            </w:pPr>
            <w:r>
              <w:t>Lack of Fusion Capability</w:t>
            </w:r>
          </w:p>
        </w:tc>
        <w:tc>
          <w:tcPr>
            <w:tcW w:w="1980" w:type="dxa"/>
          </w:tcPr>
          <w:p w:rsidR="002E31FB" w:rsidRDefault="0010444F">
            <w:pPr>
              <w:pStyle w:val="Compact"/>
            </w:pPr>
            <w:r>
              <w:t>Structure loses physical carrier, systemic dissipation</w:t>
            </w:r>
          </w:p>
        </w:tc>
        <w:tc>
          <w:tcPr>
            <w:tcW w:w="1980" w:type="dxa"/>
          </w:tcPr>
          <w:p w:rsidR="002E31FB" w:rsidRDefault="0010444F">
            <w:pPr>
              <w:pStyle w:val="Compact"/>
            </w:pPr>
            <w:r>
              <w:t xml:space="preserve">Met: Lacks cross-domain Chief Designer, climate model stalls; Traf: Lacks cross-domain Chief Designer, smart traffic fails to land; Econ: Lacks cross-domain Chief Designer, governance passive; SC: </w:t>
            </w:r>
            <w:r>
              <w:rPr>
                <w:b/>
                <w:bCs/>
              </w:rPr>
              <w:t>Transition occurs without fusion capability successor, success rate plummets</w:t>
            </w:r>
          </w:p>
        </w:tc>
      </w:tr>
    </w:tbl>
    <w:p w:rsidR="002E31FB" w:rsidRDefault="0010444F">
      <w:pPr>
        <w:pStyle w:val="a0"/>
      </w:pPr>
      <w:r>
        <w:rPr>
          <w:b/>
          <w:bCs/>
        </w:rPr>
        <w:t>Summary</w:t>
      </w:r>
      <w:r>
        <w:t>: The above cross-domain indicators demonstrate that violating any single deduction or lacking a qualified integration capability carrier will inevitably produce observable and measurable consequences in physics and cybernetics. These explicit consequences constitute the rigorous and unshakable Popperian falsifiability boundary of this theoretical framework.</w:t>
      </w:r>
    </w:p>
    <w:p w:rsidR="002E31FB" w:rsidRDefault="0010444F">
      <w:r>
        <w:pict>
          <v:rect id="_x0000_i1032" style="width:0;height:1.5pt" o:hralign="center" o:hrstd="t" o:hr="t"/>
        </w:pict>
      </w:r>
    </w:p>
    <w:p w:rsidR="002E31FB" w:rsidRDefault="0010444F">
      <w:pPr>
        <w:pStyle w:val="2"/>
      </w:pPr>
      <w:bookmarkStart w:id="36" w:name="references"/>
      <w:bookmarkEnd w:id="35"/>
      <w:r>
        <w:t>References</w:t>
      </w:r>
    </w:p>
    <w:p w:rsidR="002E31FB" w:rsidRDefault="0010444F">
      <w:pPr>
        <w:pStyle w:val="Compact"/>
        <w:numPr>
          <w:ilvl w:val="0"/>
          <w:numId w:val="25"/>
        </w:numPr>
      </w:pPr>
      <w:r>
        <w:t xml:space="preserve">Qian X, Yu J, Dai R. A new discipline of science — Open Complex Giant Systems and its methodology[J]. </w:t>
      </w:r>
      <w:r>
        <w:rPr>
          <w:i/>
          <w:iCs/>
        </w:rPr>
        <w:t>Nature Magazine</w:t>
      </w:r>
      <w:r>
        <w:t>, 1990, 13(1): 3-10. (in Chinese)</w:t>
      </w:r>
    </w:p>
    <w:p w:rsidR="002E31FB" w:rsidRDefault="0010444F">
      <w:pPr>
        <w:pStyle w:val="Compact"/>
        <w:numPr>
          <w:ilvl w:val="0"/>
          <w:numId w:val="25"/>
        </w:numPr>
      </w:pPr>
      <w:r>
        <w:t>Qian X. Creating Systemology[M]. Taiyuan: Shanxi Science and Technology Press, 2001: 42-68. (in Chinese)</w:t>
      </w:r>
    </w:p>
    <w:p w:rsidR="002E31FB" w:rsidRDefault="0010444F">
      <w:pPr>
        <w:pStyle w:val="Compact"/>
        <w:numPr>
          <w:ilvl w:val="0"/>
          <w:numId w:val="25"/>
        </w:numPr>
      </w:pPr>
      <w:r>
        <w:t xml:space="preserve">Cao L </w:t>
      </w:r>
      <w:r>
        <w:rPr>
          <w:rFonts w:hint="eastAsia"/>
        </w:rPr>
        <w:t>(</w:t>
      </w:r>
      <w:r>
        <w:rPr>
          <w:rFonts w:hint="eastAsia"/>
        </w:rPr>
        <w:t>操龙兵</w:t>
      </w:r>
      <w:r>
        <w:rPr>
          <w:rFonts w:hint="eastAsia"/>
        </w:rPr>
        <w:t>),</w:t>
      </w:r>
      <w:r>
        <w:t xml:space="preserve"> Dai R </w:t>
      </w:r>
      <w:r>
        <w:rPr>
          <w:rFonts w:hint="eastAsia"/>
        </w:rPr>
        <w:t>(</w:t>
      </w:r>
      <w:r>
        <w:rPr>
          <w:rFonts w:hint="eastAsia"/>
        </w:rPr>
        <w:t>戴汝为</w:t>
      </w:r>
      <w:r>
        <w:rPr>
          <w:rFonts w:hint="eastAsia"/>
        </w:rPr>
        <w:t>),</w:t>
      </w:r>
      <w:r>
        <w:t xml:space="preserve"> Zhou M. Metasynthesis: M-space, M-interaction, and M-computing for open complex giant systems[J]. </w:t>
      </w:r>
      <w:r>
        <w:rPr>
          <w:i/>
          <w:iCs/>
        </w:rPr>
        <w:t xml:space="preserve">IEEE </w:t>
      </w:r>
      <w:r>
        <w:rPr>
          <w:i/>
          <w:iCs/>
        </w:rPr>
        <w:lastRenderedPageBreak/>
        <w:t>Transactions on Systems, Man, and Cybernetics, Part A: Systems and Humans</w:t>
      </w:r>
      <w:r>
        <w:t>, 2009, 39(5): 1011-1021.</w:t>
      </w:r>
    </w:p>
    <w:p w:rsidR="002E31FB" w:rsidRDefault="0010444F">
      <w:pPr>
        <w:pStyle w:val="Compact"/>
        <w:numPr>
          <w:ilvl w:val="0"/>
          <w:numId w:val="25"/>
        </w:numPr>
      </w:pPr>
      <w:r>
        <w:t xml:space="preserve">Cao L </w:t>
      </w:r>
      <w:r>
        <w:rPr>
          <w:rFonts w:hint="eastAsia"/>
        </w:rPr>
        <w:t>(</w:t>
      </w:r>
      <w:r>
        <w:rPr>
          <w:rFonts w:hint="eastAsia"/>
        </w:rPr>
        <w:t>操龙兵</w:t>
      </w:r>
      <w:r>
        <w:rPr>
          <w:rFonts w:hint="eastAsia"/>
        </w:rPr>
        <w:t>).</w:t>
      </w:r>
      <w:r>
        <w:t xml:space="preserve"> Non-IID Learning: Cases, Taxonomy and Trends[J]. </w:t>
      </w:r>
      <w:r>
        <w:rPr>
          <w:i/>
          <w:iCs/>
        </w:rPr>
        <w:t>IEEE Transactions on Knowledge and Data Engineering</w:t>
      </w:r>
      <w:r>
        <w:t>, 2014, 26(11): 2783-2801.</w:t>
      </w:r>
    </w:p>
    <w:p w:rsidR="002E31FB" w:rsidRDefault="0010444F">
      <w:pPr>
        <w:pStyle w:val="Compact"/>
        <w:numPr>
          <w:ilvl w:val="0"/>
          <w:numId w:val="25"/>
        </w:numPr>
      </w:pPr>
      <w:r>
        <w:t>Ashby W R. An Introduction to Cybernetics[M]. London: Chapman &amp; Hall, 1956: 202-219.</w:t>
      </w:r>
    </w:p>
    <w:p w:rsidR="002E31FB" w:rsidRDefault="0010444F">
      <w:pPr>
        <w:pStyle w:val="Compact"/>
        <w:numPr>
          <w:ilvl w:val="0"/>
          <w:numId w:val="25"/>
        </w:numPr>
      </w:pPr>
      <w:r>
        <w:t>Wiener N. Cybernetics: Or Control and Communication in the Animal and the Machine[M]. Cambridge, MA: MIT Press, 1948: 95-112.</w:t>
      </w:r>
    </w:p>
    <w:p w:rsidR="002E31FB" w:rsidRDefault="0010444F">
      <w:pPr>
        <w:pStyle w:val="Compact"/>
        <w:numPr>
          <w:ilvl w:val="0"/>
          <w:numId w:val="25"/>
        </w:numPr>
      </w:pPr>
      <w:r>
        <w:t>Prigogine, I., &amp; Stengers, I. Order Out of Chaos: Man’s New Dialogue with Nature[M]. New York: Bantam Books, 1984.</w:t>
      </w:r>
    </w:p>
    <w:p w:rsidR="002E31FB" w:rsidRDefault="0010444F">
      <w:pPr>
        <w:pStyle w:val="Compact"/>
        <w:numPr>
          <w:ilvl w:val="0"/>
          <w:numId w:val="25"/>
        </w:numPr>
      </w:pPr>
      <w:r>
        <w:t>Arrow K J. Social Choice and Individual Values[M]. New Haven: Yale University Press, 1951: 23-45.</w:t>
      </w:r>
    </w:p>
    <w:p w:rsidR="002E31FB" w:rsidRDefault="0010444F">
      <w:pPr>
        <w:pStyle w:val="Compact"/>
        <w:numPr>
          <w:ilvl w:val="0"/>
          <w:numId w:val="25"/>
        </w:numPr>
      </w:pPr>
      <w:r>
        <w:t xml:space="preserve">Gödel K. Über formal unentscheidbare Sätze der Principia Mathematica und verwandter Systeme I[J]. </w:t>
      </w:r>
      <w:r>
        <w:rPr>
          <w:i/>
          <w:iCs/>
        </w:rPr>
        <w:t>Monatshefte für Mathematik und Physik</w:t>
      </w:r>
      <w:r>
        <w:t>, 1931, 38(1): 173-198.</w:t>
      </w:r>
    </w:p>
    <w:p w:rsidR="002E31FB" w:rsidRDefault="0010444F">
      <w:pPr>
        <w:pStyle w:val="Compact"/>
        <w:numPr>
          <w:ilvl w:val="0"/>
          <w:numId w:val="25"/>
        </w:numPr>
      </w:pPr>
      <w:r>
        <w:t xml:space="preserve">Turing A M. On computable numbers, with an application to the Entscheidungsproblem[J]. </w:t>
      </w:r>
      <w:r>
        <w:rPr>
          <w:i/>
          <w:iCs/>
        </w:rPr>
        <w:t>Proceedings of the London Mathematical Society</w:t>
      </w:r>
      <w:r>
        <w:t>, 1937, 42(1): 230-265.</w:t>
      </w:r>
    </w:p>
    <w:p w:rsidR="002E31FB" w:rsidRDefault="0010444F">
      <w:pPr>
        <w:pStyle w:val="Compact"/>
        <w:numPr>
          <w:ilvl w:val="0"/>
          <w:numId w:val="25"/>
        </w:numPr>
      </w:pPr>
      <w:r>
        <w:t>Meng G. Value Chain Physics: Formal Proof and Industrial Validation Based on Non-IID and Qian Xuesen’s Open Complex Giant Systems[R]. SSRN Working Paper Series, 2026, Abstract ID: 7442100.</w:t>
      </w:r>
    </w:p>
    <w:p w:rsidR="002E31FB" w:rsidRDefault="0010444F">
      <w:pPr>
        <w:pStyle w:val="Compact"/>
        <w:numPr>
          <w:ilvl w:val="0"/>
          <w:numId w:val="25"/>
        </w:numPr>
      </w:pPr>
      <w:r>
        <w:t>Meng G. Conscience-Driven Holographic Metacognition: The 5D Mind Model[R]. SSRN Working Paper Series, 2026, Abstract ID: 7451920.</w:t>
      </w:r>
    </w:p>
    <w:p w:rsidR="002E31FB" w:rsidRDefault="0010444F">
      <w:pPr>
        <w:pStyle w:val="Compact"/>
        <w:numPr>
          <w:ilvl w:val="0"/>
          <w:numId w:val="25"/>
        </w:numPr>
      </w:pPr>
      <w:r>
        <w:t>Meng G. Value Chain Physics &amp; System Complexity Science: Governance Laws, Autonomous IPC Engine, and Order Generation in Open Complex Giant Systems[R]. SSRN Working Paper Series, 2026, Abstract ID: 7251098.</w:t>
      </w:r>
    </w:p>
    <w:p w:rsidR="002E31FB" w:rsidRDefault="0010444F">
      <w:pPr>
        <w:pStyle w:val="Compact"/>
        <w:numPr>
          <w:ilvl w:val="0"/>
          <w:numId w:val="25"/>
        </w:numPr>
      </w:pPr>
      <w:r>
        <w:t>Meng G. The Productivity Paradox of Capital Returns in Enterprise Value Networks: Formal Proofs and Universal Computability of Open Complex Giant Systems via Non-IID State-Space Modeling[R]. Zenodo, 2026.</w:t>
      </w:r>
    </w:p>
    <w:p w:rsidR="002E31FB" w:rsidRDefault="0010444F">
      <w:pPr>
        <w:pStyle w:val="Compact"/>
        <w:numPr>
          <w:ilvl w:val="0"/>
          <w:numId w:val="25"/>
        </w:numPr>
      </w:pPr>
      <w:r>
        <w:t xml:space="preserve">Meng G. Value-Chain-Physics: Open-Source Codebase and Bare-Metal Engine[DB/OL]. GitHub, 2026. </w:t>
      </w:r>
      <w:hyperlink r:id="rId8">
        <w:r>
          <w:rPr>
            <w:rStyle w:val="af"/>
          </w:rPr>
          <w:t>https://github.com/GritMeng/Value-Chain-Physics</w:t>
        </w:r>
      </w:hyperlink>
    </w:p>
    <w:bookmarkEnd w:id="36"/>
    <w:bookmarkEnd w:id="24"/>
    <w:sectPr w:rsidR="002E31FB" w:rsidSect="0010444F">
      <w:headerReference w:type="even" r:id="rId9"/>
      <w:headerReference w:type="default" r:id="rId10"/>
      <w:footerReference w:type="even" r:id="rId11"/>
      <w:footerReference w:type="default" r:id="rId12"/>
      <w:headerReference w:type="first" r:id="rId13"/>
      <w:footerReference w:type="first" r:id="rId14"/>
      <w:footnotePr>
        <w:numRestart w:val="eachSect"/>
      </w:footnotePr>
      <w:pgSz w:w="11907" w:h="16839"/>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10444F" w:rsidRDefault="0010444F" w:rsidP="0010444F">
      <w:pPr>
        <w:spacing w:after="0"/>
      </w:pPr>
      <w:r>
        <w:separator/>
      </w:r>
    </w:p>
  </w:endnote>
  <w:endnote w:type="continuationSeparator" w:id="0">
    <w:p w:rsidR="0010444F" w:rsidRDefault="0010444F" w:rsidP="0010444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roman"/>
    <w:notTrueType/>
    <w:pitch w:val="default"/>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444F" w:rsidRDefault="0010444F" w:rsidP="00307E34">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end"/>
    </w:r>
  </w:p>
  <w:p w:rsidR="0010444F" w:rsidRDefault="0010444F">
    <w:pPr>
      <w:pStyle w:val="af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444F" w:rsidRDefault="0010444F" w:rsidP="00307E34">
    <w:pPr>
      <w:pStyle w:val="af2"/>
      <w:framePr w:wrap="around" w:vAnchor="text" w:hAnchor="margin" w:xAlign="center" w:y="1"/>
      <w:rPr>
        <w:rStyle w:val="af4"/>
      </w:rPr>
    </w:pPr>
    <w:r>
      <w:rPr>
        <w:rStyle w:val="af4"/>
      </w:rPr>
      <w:fldChar w:fldCharType="begin"/>
    </w:r>
    <w:r>
      <w:rPr>
        <w:rStyle w:val="af4"/>
      </w:rPr>
      <w:instrText xml:space="preserve"> PAGE </w:instrText>
    </w:r>
    <w:r>
      <w:rPr>
        <w:rStyle w:val="af4"/>
      </w:rPr>
      <w:fldChar w:fldCharType="separate"/>
    </w:r>
    <w:r>
      <w:rPr>
        <w:rStyle w:val="af4"/>
        <w:noProof/>
      </w:rPr>
      <w:t>1</w:t>
    </w:r>
    <w:r>
      <w:rPr>
        <w:rStyle w:val="af4"/>
      </w:rPr>
      <w:fldChar w:fldCharType="end"/>
    </w:r>
  </w:p>
  <w:p w:rsidR="0010444F" w:rsidRDefault="0010444F">
    <w:pPr>
      <w:pStyle w:val="af2"/>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444F" w:rsidRDefault="0010444F">
    <w:pPr>
      <w:pStyle w:val="af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10444F" w:rsidRDefault="0010444F" w:rsidP="0010444F">
      <w:pPr>
        <w:spacing w:after="0"/>
      </w:pPr>
      <w:r>
        <w:separator/>
      </w:r>
    </w:p>
  </w:footnote>
  <w:footnote w:type="continuationSeparator" w:id="0">
    <w:p w:rsidR="0010444F" w:rsidRDefault="0010444F" w:rsidP="0010444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444F" w:rsidRDefault="0010444F">
    <w:pPr>
      <w:pStyle w:val="af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444F" w:rsidRDefault="0010444F">
    <w:pPr>
      <w:pStyle w:val="af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10444F" w:rsidRDefault="0010444F">
    <w:pPr>
      <w:pStyle w:val="af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A990"/>
    <w:multiLevelType w:val="multilevel"/>
    <w:tmpl w:val="1BA00A2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78A4B40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C65425A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747996074">
    <w:abstractNumId w:val="0"/>
  </w:num>
  <w:num w:numId="2" w16cid:durableId="389424553">
    <w:abstractNumId w:val="1"/>
  </w:num>
  <w:num w:numId="3" w16cid:durableId="156009041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470710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899169253">
    <w:abstractNumId w:val="1"/>
  </w:num>
  <w:num w:numId="6" w16cid:durableId="47174941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697581364">
    <w:abstractNumId w:val="1"/>
  </w:num>
  <w:num w:numId="8" w16cid:durableId="1041638375">
    <w:abstractNumId w:val="1"/>
  </w:num>
  <w:num w:numId="9" w16cid:durableId="862942054">
    <w:abstractNumId w:val="1"/>
  </w:num>
  <w:num w:numId="10" w16cid:durableId="561406575">
    <w:abstractNumId w:val="1"/>
  </w:num>
  <w:num w:numId="11" w16cid:durableId="1546796153">
    <w:abstractNumId w:val="1"/>
  </w:num>
  <w:num w:numId="12" w16cid:durableId="171651446">
    <w:abstractNumId w:val="1"/>
  </w:num>
  <w:num w:numId="13" w16cid:durableId="1174538214">
    <w:abstractNumId w:val="1"/>
  </w:num>
  <w:num w:numId="14" w16cid:durableId="999507436">
    <w:abstractNumId w:val="1"/>
  </w:num>
  <w:num w:numId="15" w16cid:durableId="1103526962">
    <w:abstractNumId w:val="1"/>
  </w:num>
  <w:num w:numId="16" w16cid:durableId="994186306">
    <w:abstractNumId w:val="1"/>
  </w:num>
  <w:num w:numId="17" w16cid:durableId="894973735">
    <w:abstractNumId w:val="1"/>
  </w:num>
  <w:num w:numId="18" w16cid:durableId="941572309">
    <w:abstractNumId w:val="1"/>
  </w:num>
  <w:num w:numId="19" w16cid:durableId="1949314335">
    <w:abstractNumId w:val="1"/>
  </w:num>
  <w:num w:numId="20" w16cid:durableId="300304989">
    <w:abstractNumId w:val="1"/>
  </w:num>
  <w:num w:numId="21" w16cid:durableId="59332786">
    <w:abstractNumId w:val="1"/>
  </w:num>
  <w:num w:numId="22" w16cid:durableId="1157065272">
    <w:abstractNumId w:val="1"/>
  </w:num>
  <w:num w:numId="23" w16cid:durableId="594828419">
    <w:abstractNumId w:val="1"/>
  </w:num>
  <w:num w:numId="24" w16cid:durableId="556010516">
    <w:abstractNumId w:val="1"/>
  </w:num>
  <w:num w:numId="25" w16cid:durableId="131710470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2E31FB"/>
    <w:rsid w:val="0010444F"/>
    <w:rsid w:val="002E31FB"/>
    <w:rsid w:val="00AF2A1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D47A0101-A3F8-4EEA-8747-52B7A3902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spacing w:after="120"/>
    </w:pPr>
    <w:rPr>
      <w:rFonts w:ascii="Times New Roman" w:hAnsi="Times New Roman" w:cs="Times New Roman"/>
      <w:sz w:val="22"/>
    </w:rPr>
  </w:style>
  <w:style w:type="paragraph" w:styleId="1">
    <w:name w:val="heading 1"/>
    <w:basedOn w:val="a"/>
    <w:next w:val="a0"/>
    <w:link w:val="10"/>
    <w:uiPriority w:val="9"/>
    <w:qFormat/>
    <w:rsid w:val="00A10FD9"/>
    <w:pPr>
      <w:keepNext/>
      <w:keepLines/>
      <w:spacing w:before="360" w:after="160"/>
      <w:outlineLvl w:val="0"/>
    </w:pPr>
    <w:rPr>
      <w:rFonts w:ascii="Arial" w:eastAsiaTheme="majorEastAsia" w:hAnsi="Arial" w:cs="Arial"/>
      <w:b/>
      <w:color w:val="0F4761" w:themeColor="accent1" w:themeShade="BF"/>
      <w:sz w:val="40"/>
      <w:szCs w:val="40"/>
    </w:rPr>
  </w:style>
  <w:style w:type="paragraph" w:styleId="2">
    <w:name w:val="heading 2"/>
    <w:basedOn w:val="a"/>
    <w:next w:val="a0"/>
    <w:link w:val="20"/>
    <w:uiPriority w:val="9"/>
    <w:semiHidden/>
    <w:unhideWhenUsed/>
    <w:qFormat/>
    <w:rsid w:val="00A10FD9"/>
    <w:pPr>
      <w:keepNext/>
      <w:keepLines/>
      <w:spacing w:before="360" w:after="160"/>
      <w:outlineLvl w:val="1"/>
    </w:pPr>
    <w:rPr>
      <w:rFonts w:ascii="Arial" w:eastAsiaTheme="majorEastAsia" w:hAnsi="Arial" w:cs="Arial"/>
      <w:b/>
      <w:color w:val="0F4761" w:themeColor="accent1" w:themeShade="BF"/>
      <w:sz w:val="32"/>
      <w:szCs w:val="32"/>
    </w:rPr>
  </w:style>
  <w:style w:type="paragraph" w:styleId="3">
    <w:name w:val="heading 3"/>
    <w:basedOn w:val="a"/>
    <w:next w:val="a0"/>
    <w:link w:val="30"/>
    <w:uiPriority w:val="9"/>
    <w:semiHidden/>
    <w:unhideWhenUsed/>
    <w:qFormat/>
    <w:rsid w:val="00A10FD9"/>
    <w:pPr>
      <w:keepNext/>
      <w:keepLines/>
      <w:spacing w:before="360" w:after="160"/>
      <w:outlineLvl w:val="2"/>
    </w:pPr>
    <w:rPr>
      <w:rFonts w:ascii="Arial" w:eastAsiaTheme="majorEastAsia" w:hAnsi="Arial" w:cs="Arial"/>
      <w:b/>
      <w:color w:val="0F4761" w:themeColor="accent1" w:themeShade="BF"/>
      <w:sz w:val="28"/>
      <w:szCs w:val="28"/>
    </w:rPr>
  </w:style>
  <w:style w:type="paragraph" w:styleId="4">
    <w:name w:val="heading 4"/>
    <w:basedOn w:val="a"/>
    <w:next w:val="a0"/>
    <w:link w:val="40"/>
    <w:uiPriority w:val="9"/>
    <w:semiHidden/>
    <w:unhideWhenUsed/>
    <w:qFormat/>
    <w:rsid w:val="00A10FD9"/>
    <w:pPr>
      <w:keepNext/>
      <w:keepLines/>
      <w:spacing w:before="360" w:after="160"/>
      <w:outlineLvl w:val="3"/>
    </w:pPr>
    <w:rPr>
      <w:rFonts w:ascii="Arial" w:eastAsiaTheme="majorEastAsia" w:hAnsi="Arial" w:cs="Arial"/>
      <w:b/>
      <w:i/>
      <w:iCs/>
      <w:color w:val="0F4761" w:themeColor="accent1" w:themeShade="BF"/>
    </w:rPr>
  </w:style>
  <w:style w:type="paragraph" w:styleId="5">
    <w:name w:val="heading 5"/>
    <w:basedOn w:val="a"/>
    <w:next w:val="a0"/>
    <w:link w:val="50"/>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6">
    <w:name w:val="heading 6"/>
    <w:basedOn w:val="a"/>
    <w:next w:val="a0"/>
    <w:link w:val="60"/>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0"/>
    <w:link w:val="70"/>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8">
    <w:name w:val="heading 8"/>
    <w:basedOn w:val="a"/>
    <w:next w:val="a0"/>
    <w:link w:val="80"/>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9">
    <w:name w:val="heading 9"/>
    <w:basedOn w:val="a"/>
    <w:next w:val="a0"/>
    <w:link w:val="90"/>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Body Text"/>
    <w:basedOn w:val="a"/>
    <w:qFormat/>
    <w:pPr>
      <w:spacing w:before="180" w:after="180"/>
    </w:pPr>
  </w:style>
  <w:style w:type="paragraph" w:customStyle="1" w:styleId="FirstParagraph">
    <w:name w:val="First Paragraph"/>
    <w:basedOn w:val="a0"/>
    <w:next w:val="a0"/>
    <w:qFormat/>
  </w:style>
  <w:style w:type="paragraph" w:customStyle="1" w:styleId="Compact">
    <w:name w:val="Compact"/>
    <w:basedOn w:val="a0"/>
    <w:qFormat/>
    <w:pPr>
      <w:spacing w:before="36" w:after="36"/>
    </w:pPr>
  </w:style>
  <w:style w:type="paragraph" w:styleId="a4">
    <w:name w:val="Title"/>
    <w:basedOn w:val="a"/>
    <w:next w:val="a0"/>
    <w:link w:val="a5"/>
    <w:uiPriority w:val="10"/>
    <w:qFormat/>
    <w:rsid w:val="00A10FD9"/>
    <w:pPr>
      <w:keepNext/>
      <w:spacing w:before="360" w:after="160"/>
      <w:contextualSpacing/>
      <w:jc w:val="center"/>
    </w:pPr>
    <w:rPr>
      <w:rFonts w:ascii="Arial" w:eastAsiaTheme="majorEastAsia" w:hAnsi="Arial" w:cs="Arial"/>
      <w:b/>
      <w:sz w:val="56"/>
      <w:szCs w:val="56"/>
    </w:rPr>
  </w:style>
  <w:style w:type="character" w:customStyle="1" w:styleId="a5">
    <w:name w:val="标题 字符"/>
    <w:basedOn w:val="a1"/>
    <w:link w:val="a4"/>
    <w:uiPriority w:val="10"/>
    <w:rsid w:val="00A10FD9"/>
    <w:rPr>
      <w:rFonts w:ascii="Arial" w:eastAsiaTheme="majorEastAsia" w:hAnsi="Arial" w:cs="Arial"/>
      <w:b/>
      <w:sz w:val="56"/>
      <w:szCs w:val="56"/>
    </w:rPr>
  </w:style>
  <w:style w:type="paragraph" w:styleId="a6">
    <w:name w:val="Subtitle"/>
    <w:basedOn w:val="a4"/>
    <w:next w:val="a0"/>
    <w:link w:val="a7"/>
    <w:uiPriority w:val="11"/>
    <w:qFormat/>
    <w:rsid w:val="00A10FD9"/>
    <w:pPr>
      <w:numPr>
        <w:ilvl w:val="1"/>
      </w:numPr>
    </w:pPr>
    <w:rPr>
      <w:spacing w:val="15"/>
      <w:sz w:val="28"/>
      <w:szCs w:val="28"/>
    </w:rPr>
  </w:style>
  <w:style w:type="character" w:customStyle="1" w:styleId="a7">
    <w:name w:val="副标题 字符"/>
    <w:basedOn w:val="a1"/>
    <w:link w:val="a6"/>
    <w:uiPriority w:val="11"/>
    <w:rsid w:val="00A10FD9"/>
    <w:rPr>
      <w:rFonts w:ascii="Arial" w:eastAsiaTheme="majorEastAsia" w:hAnsi="Arial" w:cs="Arial"/>
      <w:b/>
      <w:spacing w:val="15"/>
      <w:sz w:val="28"/>
      <w:szCs w:val="28"/>
    </w:rPr>
  </w:style>
  <w:style w:type="paragraph" w:customStyle="1" w:styleId="Author">
    <w:name w:val="Author"/>
    <w:basedOn w:val="a4"/>
    <w:next w:val="a0"/>
    <w:qFormat/>
    <w:pPr>
      <w:keepLines/>
    </w:pPr>
    <w:rPr>
      <w:sz w:val="24"/>
      <w:szCs w:val="24"/>
    </w:rPr>
  </w:style>
  <w:style w:type="paragraph" w:styleId="a8">
    <w:name w:val="Date"/>
    <w:basedOn w:val="a4"/>
    <w:next w:val="a0"/>
    <w:qFormat/>
    <w:pPr>
      <w:keepLines/>
    </w:pPr>
    <w:rPr>
      <w:sz w:val="24"/>
      <w:szCs w:val="24"/>
    </w:rPr>
  </w:style>
  <w:style w:type="paragraph" w:customStyle="1" w:styleId="AbstractTitle">
    <w:name w:val="Abstract Title"/>
    <w:basedOn w:val="a"/>
    <w:next w:val="Abstract"/>
    <w:qFormat/>
    <w:pPr>
      <w:keepNext/>
      <w:keepLines/>
      <w:spacing w:before="300" w:after="0"/>
      <w:jc w:val="center"/>
    </w:pPr>
    <w:rPr>
      <w:b/>
      <w:sz w:val="20"/>
      <w:szCs w:val="20"/>
    </w:rPr>
  </w:style>
  <w:style w:type="paragraph" w:customStyle="1" w:styleId="Abstract">
    <w:name w:val="Abstract"/>
    <w:basedOn w:val="a"/>
    <w:next w:val="a0"/>
    <w:qFormat/>
    <w:pPr>
      <w:keepNext/>
      <w:keepLines/>
      <w:spacing w:before="100" w:after="300"/>
    </w:pPr>
    <w:rPr>
      <w:sz w:val="20"/>
      <w:szCs w:val="20"/>
    </w:rPr>
  </w:style>
  <w:style w:type="paragraph" w:styleId="a9">
    <w:name w:val="Bibliography"/>
    <w:basedOn w:val="a"/>
    <w:qFormat/>
  </w:style>
  <w:style w:type="character" w:customStyle="1" w:styleId="10">
    <w:name w:val="标题 1 字符"/>
    <w:basedOn w:val="a1"/>
    <w:link w:val="1"/>
    <w:uiPriority w:val="9"/>
    <w:rsid w:val="00A10FD9"/>
    <w:rPr>
      <w:rFonts w:ascii="Arial" w:eastAsiaTheme="majorEastAsia" w:hAnsi="Arial" w:cs="Arial"/>
      <w:b/>
      <w:color w:val="0F4761" w:themeColor="accent1" w:themeShade="BF"/>
      <w:sz w:val="40"/>
      <w:szCs w:val="40"/>
    </w:rPr>
  </w:style>
  <w:style w:type="character" w:customStyle="1" w:styleId="20">
    <w:name w:val="标题 2 字符"/>
    <w:basedOn w:val="a1"/>
    <w:link w:val="2"/>
    <w:uiPriority w:val="9"/>
    <w:semiHidden/>
    <w:rsid w:val="00A10FD9"/>
    <w:rPr>
      <w:rFonts w:ascii="Arial" w:eastAsiaTheme="majorEastAsia" w:hAnsi="Arial" w:cs="Arial"/>
      <w:b/>
      <w:color w:val="0F4761" w:themeColor="accent1" w:themeShade="BF"/>
      <w:sz w:val="32"/>
      <w:szCs w:val="32"/>
    </w:rPr>
  </w:style>
  <w:style w:type="character" w:customStyle="1" w:styleId="30">
    <w:name w:val="标题 3 字符"/>
    <w:basedOn w:val="a1"/>
    <w:link w:val="3"/>
    <w:uiPriority w:val="9"/>
    <w:semiHidden/>
    <w:rsid w:val="00A10FD9"/>
    <w:rPr>
      <w:rFonts w:ascii="Arial" w:eastAsiaTheme="majorEastAsia" w:hAnsi="Arial" w:cs="Arial"/>
      <w:b/>
      <w:color w:val="0F4761" w:themeColor="accent1" w:themeShade="BF"/>
      <w:sz w:val="28"/>
      <w:szCs w:val="28"/>
    </w:rPr>
  </w:style>
  <w:style w:type="character" w:customStyle="1" w:styleId="40">
    <w:name w:val="标题 4 字符"/>
    <w:basedOn w:val="a1"/>
    <w:link w:val="4"/>
    <w:uiPriority w:val="9"/>
    <w:semiHidden/>
    <w:rsid w:val="00A10FD9"/>
    <w:rPr>
      <w:rFonts w:ascii="Arial" w:eastAsiaTheme="majorEastAsia" w:hAnsi="Arial" w:cs="Arial"/>
      <w:b/>
      <w:i/>
      <w:iCs/>
      <w:color w:val="0F4761" w:themeColor="accent1" w:themeShade="BF"/>
      <w:sz w:val="22"/>
    </w:rPr>
  </w:style>
  <w:style w:type="character" w:customStyle="1" w:styleId="50">
    <w:name w:val="标题 5 字符"/>
    <w:basedOn w:val="a1"/>
    <w:link w:val="5"/>
    <w:uiPriority w:val="9"/>
    <w:semiHidden/>
    <w:rsid w:val="00A10FD9"/>
    <w:rPr>
      <w:rFonts w:eastAsiaTheme="majorEastAsia" w:cstheme="majorBidi"/>
      <w:color w:val="0F4761" w:themeColor="accent1" w:themeShade="BF"/>
    </w:rPr>
  </w:style>
  <w:style w:type="character" w:customStyle="1" w:styleId="60">
    <w:name w:val="标题 6 字符"/>
    <w:basedOn w:val="a1"/>
    <w:link w:val="6"/>
    <w:uiPriority w:val="9"/>
    <w:semiHidden/>
    <w:rsid w:val="00A10FD9"/>
    <w:rPr>
      <w:rFonts w:eastAsiaTheme="majorEastAsia" w:cstheme="majorBidi"/>
      <w:i/>
      <w:iCs/>
      <w:color w:val="595959" w:themeColor="text1" w:themeTint="A6"/>
    </w:rPr>
  </w:style>
  <w:style w:type="character" w:customStyle="1" w:styleId="70">
    <w:name w:val="标题 7 字符"/>
    <w:basedOn w:val="a1"/>
    <w:link w:val="7"/>
    <w:uiPriority w:val="9"/>
    <w:semiHidden/>
    <w:rsid w:val="00A10FD9"/>
    <w:rPr>
      <w:rFonts w:eastAsiaTheme="majorEastAsia" w:cstheme="majorBidi"/>
      <w:color w:val="595959" w:themeColor="text1" w:themeTint="A6"/>
    </w:rPr>
  </w:style>
  <w:style w:type="character" w:customStyle="1" w:styleId="80">
    <w:name w:val="标题 8 字符"/>
    <w:basedOn w:val="a1"/>
    <w:link w:val="8"/>
    <w:uiPriority w:val="9"/>
    <w:semiHidden/>
    <w:rsid w:val="00A10FD9"/>
    <w:rPr>
      <w:rFonts w:eastAsiaTheme="majorEastAsia" w:cstheme="majorBidi"/>
      <w:i/>
      <w:iCs/>
      <w:color w:val="272727" w:themeColor="text1" w:themeTint="D8"/>
    </w:rPr>
  </w:style>
  <w:style w:type="character" w:customStyle="1" w:styleId="90">
    <w:name w:val="标题 9 字符"/>
    <w:basedOn w:val="a1"/>
    <w:link w:val="9"/>
    <w:uiPriority w:val="9"/>
    <w:semiHidden/>
    <w:rsid w:val="00A10FD9"/>
    <w:rPr>
      <w:rFonts w:eastAsiaTheme="majorEastAsia" w:cstheme="majorBidi"/>
      <w:color w:val="272727" w:themeColor="text1" w:themeTint="D8"/>
    </w:rPr>
  </w:style>
  <w:style w:type="paragraph" w:styleId="aa">
    <w:name w:val="Block Text"/>
    <w:basedOn w:val="a0"/>
    <w:next w:val="a0"/>
    <w:uiPriority w:val="9"/>
    <w:unhideWhenUsed/>
    <w:qFormat/>
    <w:pPr>
      <w:spacing w:before="100" w:after="100"/>
      <w:ind w:left="480" w:right="480"/>
    </w:pPr>
  </w:style>
  <w:style w:type="paragraph" w:styleId="ab">
    <w:name w:val="footnote text"/>
    <w:basedOn w:val="a"/>
    <w:uiPriority w:val="9"/>
    <w:unhideWhenUsed/>
    <w:qFormat/>
  </w:style>
  <w:style w:type="paragraph" w:customStyle="1" w:styleId="FootnoteBlockText">
    <w:name w:val="Footnote Block Text"/>
    <w:basedOn w:val="ab"/>
    <w:next w:val="ab"/>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a"/>
    <w:next w:val="Definition"/>
    <w:pPr>
      <w:keepNext/>
      <w:keepLines/>
      <w:spacing w:after="0"/>
    </w:pPr>
    <w:rPr>
      <w:b/>
    </w:rPr>
  </w:style>
  <w:style w:type="paragraph" w:customStyle="1" w:styleId="Definition">
    <w:name w:val="Definition"/>
    <w:basedOn w:val="a"/>
  </w:style>
  <w:style w:type="paragraph" w:styleId="ac">
    <w:name w:val="caption"/>
    <w:basedOn w:val="a"/>
    <w:link w:val="ad"/>
    <w:rPr>
      <w:i/>
    </w:rPr>
  </w:style>
  <w:style w:type="paragraph" w:customStyle="1" w:styleId="TableCaption">
    <w:name w:val="Table Caption"/>
    <w:basedOn w:val="ac"/>
    <w:pPr>
      <w:keepNext/>
    </w:pPr>
  </w:style>
  <w:style w:type="paragraph" w:customStyle="1" w:styleId="ImageCaption">
    <w:name w:val="Image Caption"/>
    <w:basedOn w:val="ac"/>
  </w:style>
  <w:style w:type="paragraph" w:customStyle="1" w:styleId="Figure">
    <w:name w:val="Figure"/>
    <w:basedOn w:val="a"/>
  </w:style>
  <w:style w:type="paragraph" w:customStyle="1" w:styleId="CaptionedFigure">
    <w:name w:val="Captioned Figure"/>
    <w:basedOn w:val="Figure"/>
    <w:pPr>
      <w:keepNext/>
    </w:pPr>
  </w:style>
  <w:style w:type="character" w:customStyle="1" w:styleId="ad">
    <w:name w:val="题注 字符"/>
    <w:basedOn w:val="a1"/>
    <w:link w:val="ac"/>
  </w:style>
  <w:style w:type="character" w:customStyle="1" w:styleId="VerbatimChar">
    <w:name w:val="Verbatim Char"/>
    <w:basedOn w:val="ad"/>
    <w:link w:val="SourceCode"/>
    <w:rPr>
      <w:rFonts w:ascii="Consolas" w:hAnsi="Consolas"/>
      <w:sz w:val="22"/>
    </w:rPr>
  </w:style>
  <w:style w:type="character" w:customStyle="1" w:styleId="SectionNumber">
    <w:name w:val="Section Number"/>
    <w:basedOn w:val="ad"/>
  </w:style>
  <w:style w:type="character" w:styleId="ae">
    <w:name w:val="footnote reference"/>
    <w:basedOn w:val="ad"/>
    <w:rPr>
      <w:vertAlign w:val="superscript"/>
    </w:rPr>
  </w:style>
  <w:style w:type="character" w:styleId="af">
    <w:name w:val="Hyperlink"/>
    <w:basedOn w:val="ad"/>
    <w:rPr>
      <w:color w:val="156082" w:themeColor="accent1"/>
    </w:rPr>
  </w:style>
  <w:style w:type="paragraph" w:styleId="TOC">
    <w:name w:val="TOC Heading"/>
    <w:basedOn w:val="1"/>
    <w:next w:val="a0"/>
    <w:uiPriority w:val="39"/>
    <w:unhideWhenUsed/>
    <w:qFormat/>
    <w:pPr>
      <w:spacing w:before="240" w:line="259" w:lineRule="auto"/>
      <w:outlineLvl w:val="9"/>
    </w:pPr>
    <w:rPr>
      <w:rFonts w:asciiTheme="majorHAnsi" w:hAnsiTheme="majorHAnsi" w:cstheme="majorBidi"/>
    </w:rPr>
  </w:style>
  <w:style w:type="paragraph" w:customStyle="1" w:styleId="SourceCode">
    <w:name w:val="Source Code"/>
    <w:basedOn w:val="a"/>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af0">
    <w:name w:val="header"/>
    <w:basedOn w:val="a"/>
    <w:link w:val="af1"/>
    <w:rsid w:val="0010444F"/>
    <w:pPr>
      <w:tabs>
        <w:tab w:val="center" w:pos="4153"/>
        <w:tab w:val="right" w:pos="8306"/>
      </w:tabs>
      <w:snapToGrid w:val="0"/>
      <w:jc w:val="center"/>
    </w:pPr>
    <w:rPr>
      <w:sz w:val="18"/>
      <w:szCs w:val="18"/>
    </w:rPr>
  </w:style>
  <w:style w:type="character" w:customStyle="1" w:styleId="af1">
    <w:name w:val="页眉 字符"/>
    <w:basedOn w:val="a1"/>
    <w:link w:val="af0"/>
    <w:rsid w:val="0010444F"/>
    <w:rPr>
      <w:sz w:val="18"/>
      <w:szCs w:val="18"/>
    </w:rPr>
  </w:style>
  <w:style w:type="paragraph" w:styleId="af2">
    <w:name w:val="footer"/>
    <w:basedOn w:val="a"/>
    <w:link w:val="af3"/>
    <w:rsid w:val="0010444F"/>
    <w:pPr>
      <w:tabs>
        <w:tab w:val="center" w:pos="4153"/>
        <w:tab w:val="right" w:pos="8306"/>
      </w:tabs>
      <w:snapToGrid w:val="0"/>
    </w:pPr>
    <w:rPr>
      <w:sz w:val="18"/>
      <w:szCs w:val="18"/>
    </w:rPr>
  </w:style>
  <w:style w:type="character" w:customStyle="1" w:styleId="af3">
    <w:name w:val="页脚 字符"/>
    <w:basedOn w:val="a1"/>
    <w:link w:val="af2"/>
    <w:rsid w:val="0010444F"/>
    <w:rPr>
      <w:sz w:val="18"/>
      <w:szCs w:val="18"/>
    </w:rPr>
  </w:style>
  <w:style w:type="character" w:styleId="af4">
    <w:name w:val="page number"/>
    <w:basedOn w:val="a1"/>
    <w:rsid w:val="001044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GritMeng/Value-Chain-Physics" TargetMode="External"/><Relationship Id="rId13" Type="http://schemas.openxmlformats.org/officeDocument/2006/relationships/header" Target="header3.xml"/><Relationship Id="rId3" Type="http://schemas.openxmlformats.org/officeDocument/2006/relationships/settings" Target="settings.xml"/><Relationship Id="rId7" Type="http://schemas.openxmlformats.org/officeDocument/2006/relationships/hyperlink" Target="https://github.com/GritMeng/Value-Chain-Physics" TargetMode="External"/><Relationship Id="rId12" Type="http://schemas.openxmlformats.org/officeDocument/2006/relationships/footer" Target="footer2.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21</Pages>
  <Words>5252</Words>
  <Characters>36397</Characters>
  <Application>Microsoft Office Word</Application>
  <DocSecurity>0</DocSecurity>
  <Lines>957</Lines>
  <Paragraphs>283</Paragraphs>
  <ScaleCrop>false</ScaleCrop>
  <Company/>
  <LinksUpToDate>false</LinksUpToDate>
  <CharactersWithSpaces>41366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博理 孟</cp:lastModifiedBy>
  <cp:revision>2</cp:revision>
  <dcterms:created xsi:type="dcterms:W3CDTF">2026-10-21T20:28:00Z</dcterms:created>
  <dcterms:modified xsi:type="dcterms:W3CDTF">2026-10-21T20:28:00Z</dcterms:modified>
</cp:coreProperties>
</file>