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8BA4A" w14:textId="77777777" w:rsidR="00A465D6" w:rsidRDefault="00420AE6">
      <w:pPr>
        <w:pStyle w:val="1"/>
      </w:pPr>
      <w:bookmarkStart w:id="0" w:name="X68090a5c856e6daf1bbacef78d8fb965fd016a3"/>
      <w:r>
        <w:t>The Law of Sequencing Coupling: Genesis Mechanism and Orthogonal Governance of KPI Conflicts in S&amp;OP</w:t>
      </w:r>
    </w:p>
    <w:p w14:paraId="16DF57A4" w14:textId="77777777" w:rsidR="00A465D6" w:rsidRDefault="00420AE6">
      <w:r>
        <w:pict w14:anchorId="5487B835">
          <v:rect id="_x0000_i1025" style="width:0;height:1.5pt" o:hralign="center" o:hrstd="t" o:hr="t"/>
        </w:pict>
      </w:r>
    </w:p>
    <w:p w14:paraId="1131EF3F" w14:textId="77777777" w:rsidR="00A465D6" w:rsidRDefault="00420AE6">
      <w:pPr>
        <w:pStyle w:val="3"/>
      </w:pPr>
      <w:bookmarkStart w:id="1" w:name="abstract"/>
      <w:r>
        <w:t>Abstract</w:t>
      </w:r>
    </w:p>
    <w:p w14:paraId="43B3EDFF" w14:textId="77777777" w:rsidR="00A465D6" w:rsidRDefault="00420AE6">
      <w:pPr>
        <w:pStyle w:val="FirstParagraph"/>
      </w:pPr>
      <w:r>
        <w:t xml:space="preserve">Modern manufacturing enterprises universally adopt common components, standard modules, and shared production equipment to achieve economies of scale. However, this resource sharing fundamentally restructures the physical connectivity of the enterprise: horizontal “one-to-many” exclusive allocation and vertical “multi-material kitting” bottleneck constraints intertwine, casting the entire organization into an entangled, network-wide coupled state. For decades, industry and academia have attributed planning </w:t>
      </w:r>
      <w:r>
        <w:t>failures and cross-functional KPI conflicts to inaccurate forecasting, poor master data quality, or organizational silos, seeking to resolve these frictions through frequent Sales and Operations Planning (S&amp;OP) meetings and localized optimization heuristics.</w:t>
      </w:r>
    </w:p>
    <w:p w14:paraId="68BE2C9F" w14:textId="77777777" w:rsidR="00A465D6" w:rsidRDefault="00420AE6">
      <w:pPr>
        <w:pStyle w:val="a0"/>
      </w:pPr>
      <w:r>
        <w:t xml:space="preserve">Applying Occam’s razor to strip away all external disturbances, this paper discovers and proves the governing objective law of shared-resource networks: </w:t>
      </w:r>
      <w:r>
        <w:rPr>
          <w:b/>
          <w:bCs/>
        </w:rPr>
        <w:t>The Law of Sequencing Coupling</w:t>
      </w:r>
      <w:r>
        <w:t xml:space="preserve">. Our derivation demonstrates that even under idealized, noise-free conditions—where demand forecasts are 100% deterministic, master data is 100% clean, constraints are fully mapped, and all organizational friction is eliminated—as long as an enterprise shares resources to pursue economies of scale, any action that sequentially allocates and exclusively locks inventory based on static business priorities inevitably causes late-kitting, high-priority demands to monopolize early </w:t>
      </w:r>
      <w:r>
        <w:t xml:space="preserve">on-hand stock whenever business priority and physical kitting dates invert. This allocation cascades across the shared network to block the fulfillment of early-kitting demands, deterministically (100%) generating a </w:t>
      </w:r>
      <w:r>
        <w:rPr>
          <w:b/>
          <w:bCs/>
        </w:rPr>
        <w:t>spatiotemporal cross-mismatch</w:t>
      </w:r>
      <w:r>
        <w:t xml:space="preserve"> where “early demands starve waiting for late arrivals, while late demands sit idle hoarding early stock.” This law holds universally across strategic, tactical, and operational S&amp;OP horizons, directly yielding three foundational corollaries: (1) physical node coupli</w:t>
      </w:r>
      <w:r>
        <w:t xml:space="preserve">ng inevitably induces KPI coupling and locks the behavioral intentions (objective functions) of local agents into physical coupling, causing isolated departmental optimization or decentralized multi-agent bargaining to degenerate into mutual deadlock and </w:t>
      </w:r>
      <w:r>
        <w:rPr>
          <w:b/>
          <w:bCs/>
        </w:rPr>
        <w:t>vector cancellation</w:t>
      </w:r>
      <w:r>
        <w:t>; (2) administrative priority overrides in S&amp;OP meetings, or mere increases in forecasting accuracy and traditional solver compute within the same coupled dimension, only accelerate system paralysis; and (3) the sole mathematical and phys</w:t>
      </w:r>
      <w:r>
        <w:t>ical path to resolve cross-mismatch without abandoning economies of scale is to decouple additive material flows from time-exclusive discrete machine capacity via soft allocation concessions that preserve delivery commitments, thereby orthogonalizing coupled objectives and intentions. Rooted in this orthogonal governance mechanism, the Integrated Planning Solution (IPS) of Lenovo Group closed the high-frequency “plan-execute-feedback” loop, achieving an across-the-board leap in operational KPIs and Return o</w:t>
      </w:r>
      <w:r>
        <w:t>n Invested Capital (ROIC) across 18 consecutive years of rigorous industrial practice (2008–2026).</w:t>
      </w:r>
    </w:p>
    <w:p w14:paraId="62C2B98F" w14:textId="77777777" w:rsidR="00A465D6" w:rsidRDefault="00420AE6">
      <w:pPr>
        <w:pStyle w:val="a0"/>
      </w:pPr>
      <w:r>
        <w:rPr>
          <w:b/>
          <w:bCs/>
        </w:rPr>
        <w:t>Keywords</w:t>
      </w:r>
      <w:r>
        <w:t>: The Law of Sequencing Coupling; Spatiotemporal Cross-Mismatch; Sales and Operations Planning (S&amp;OP); Economies of Scale; KPI and Intention Coupling; Vector Cancellation; Orthogonal Governance; Return on Invested Capital (ROIC)</w:t>
      </w:r>
    </w:p>
    <w:p w14:paraId="63558F12" w14:textId="77777777" w:rsidR="00A465D6" w:rsidRDefault="00420AE6">
      <w:r>
        <w:pict w14:anchorId="75B2B992">
          <v:rect id="_x0000_i1026" style="width:0;height:1.5pt" o:hralign="center" o:hrstd="t" o:hr="t"/>
        </w:pict>
      </w:r>
    </w:p>
    <w:p w14:paraId="645E837F" w14:textId="77777777" w:rsidR="00A465D6" w:rsidRDefault="00420AE6">
      <w:pPr>
        <w:pStyle w:val="3"/>
      </w:pPr>
      <w:bookmarkStart w:id="2" w:name="X9cf224d08f5dab2a523010102610588e550e58c"/>
      <w:bookmarkEnd w:id="1"/>
      <w:r>
        <w:t>1. Targeting the Consensus: What Are Mistaken for Root Causes Are Merely Symptoms</w:t>
      </w:r>
    </w:p>
    <w:p w14:paraId="18E796CD" w14:textId="77777777" w:rsidR="00A465D6" w:rsidRDefault="00420AE6">
      <w:pPr>
        <w:pStyle w:val="FirstParagraph"/>
      </w:pPr>
      <w:r>
        <w:t xml:space="preserve">In modern enterprise management, an industry-wide consensus prevails: the core objective of supply chain management is to balance conflicts among internal operational KPIs, maximizing overall corporate profit and Return on Invested Capital (ROIC). To achieve this goal, the universally </w:t>
      </w:r>
      <w:r>
        <w:lastRenderedPageBreak/>
        <w:t>established methodology is Sales and Operations Planning (S&amp;OP or IBP)—horizontally synchronizing the end-to-end chain from procurement and manufacturing to fulfillment, and vertically aligning strategic business plans, tactical master scheduling, and daily shop-floor execution.</w:t>
      </w:r>
    </w:p>
    <w:p w14:paraId="0790ED06" w14:textId="77777777" w:rsidR="00A465D6" w:rsidRDefault="00420AE6">
      <w:pPr>
        <w:pStyle w:val="a0"/>
      </w:pPr>
      <w:r>
        <w:t>Yet, over the past three to four decades, manufacturing enterprises have deployed every category of management software and conducted S&amp;OP meetings with religious regularity, only to find their factory floors mired in chronic operational pathologies: high inventories, severe component shortages, rampant order expediting, spiraling manufacturing costs, and sluggish inventory turns. As enterprises expand, economies of scale give way to scale diseconomies. Each functional department—Procurement, Manufacturing,</w:t>
      </w:r>
      <w:r>
        <w:t xml:space="preserve"> Sales, and Finance—appears to hit its localized KPI targets when evaluated in isolation; yet taken as a whole, the corporate net profit margin is halved, and ROIC plummets to a dismal 3%–6%.</w:t>
      </w:r>
    </w:p>
    <w:p w14:paraId="5DE1BBA5" w14:textId="77777777" w:rsidR="00A465D6" w:rsidRDefault="00420AE6">
      <w:pPr>
        <w:pStyle w:val="a0"/>
      </w:pPr>
      <w:r>
        <w:t>Why does this happen? The explanations routinely offered by industry experts and consulting firms converge on a familiar checklist: demand forecasts are inaccurate; business rules are overly complex; master data is noisy; functional silos impede communication; IT systems suffer from data fragmentation; or executive sponsorship is insufficient.</w:t>
      </w:r>
    </w:p>
    <w:p w14:paraId="37E8992F" w14:textId="77777777" w:rsidR="00A465D6" w:rsidRDefault="00420AE6">
      <w:pPr>
        <w:pStyle w:val="a0"/>
      </w:pPr>
      <w:r>
        <w:t>Have you ever paused to consider that all of the above items are merely symptomatic manifestations of a failing system, rather than its root causes?</w:t>
      </w:r>
    </w:p>
    <w:p w14:paraId="71497DA8" w14:textId="77777777" w:rsidR="00A465D6" w:rsidRDefault="00420AE6">
      <w:pPr>
        <w:pStyle w:val="a0"/>
      </w:pPr>
      <w:r>
        <w:t>How can we prove they are not the root causes? Just as physicists studying the law of inertia begin with an idealized thought experiment that eliminates all air resistance and friction, we can eliminate all external excuses: suppose an enterprise possesses 100% accurate demand forecasts, 100% pristine master data, completely explicit rules, zero data fragmentation, and functional department heads entirely devoid of parochial self-interest. Under such sterile, ideal conditions, would planning failures and cr</w:t>
      </w:r>
      <w:r>
        <w:t>oss-functional KPI conflicts still occur?</w:t>
      </w:r>
    </w:p>
    <w:p w14:paraId="2B669137" w14:textId="77777777" w:rsidR="00A465D6" w:rsidRDefault="00420AE6">
      <w:pPr>
        <w:pStyle w:val="a0"/>
      </w:pPr>
      <w:r>
        <w:t>The answer is: they would still occur with 100% certainty.</w:t>
      </w:r>
    </w:p>
    <w:p w14:paraId="18DDB623" w14:textId="77777777" w:rsidR="00A465D6" w:rsidRDefault="00420AE6">
      <w:r>
        <w:pict w14:anchorId="6485FA97">
          <v:rect id="_x0000_i1027" style="width:0;height:1.5pt" o:hralign="center" o:hrstd="t" o:hr="t"/>
        </w:pict>
      </w:r>
    </w:p>
    <w:p w14:paraId="0CA11750" w14:textId="77777777" w:rsidR="00A465D6" w:rsidRDefault="00420AE6">
      <w:pPr>
        <w:pStyle w:val="3"/>
      </w:pPr>
      <w:bookmarkStart w:id="3" w:name="X139c6f969c415d62c9695ca280fb6bef4ba632c"/>
      <w:bookmarkEnd w:id="2"/>
      <w:r>
        <w:t>2. Why Enterprises Are Physically Bound Together: Shared Resources and the Coupled State</w:t>
      </w:r>
    </w:p>
    <w:p w14:paraId="1B080D30" w14:textId="77777777" w:rsidR="00A465D6" w:rsidRDefault="00420AE6">
      <w:pPr>
        <w:pStyle w:val="FirstParagraph"/>
      </w:pPr>
      <w:r>
        <w:t>Why does the system lock up even after all external operational defects are eliminated? Because conventional management overlooks the fundamental physical connectivity that binds modern manufacturing enterprises together.</w:t>
      </w:r>
    </w:p>
    <w:p w14:paraId="1EEEBBF6" w14:textId="77777777" w:rsidR="00A465D6" w:rsidRDefault="00420AE6">
      <w:pPr>
        <w:pStyle w:val="a0"/>
      </w:pPr>
      <w:r>
        <w:t>In an artisanal workshop or under dedicated make-to-order manufacturing—where every product model uses proprietary components and runs on dedicated machines—individual order streams behave like isolated, parallel pipes that never intersect or interfere with one another.</w:t>
      </w:r>
    </w:p>
    <w:p w14:paraId="47AD97D2" w14:textId="77777777" w:rsidR="00A465D6" w:rsidRDefault="00420AE6">
      <w:pPr>
        <w:pStyle w:val="a0"/>
      </w:pPr>
      <w:r>
        <w:t xml:space="preserve">However, modern industrial survival hinges on </w:t>
      </w:r>
      <w:r>
        <w:rPr>
          <w:b/>
          <w:bCs/>
        </w:rPr>
        <w:t>Economies of Scale</w:t>
      </w:r>
      <w:r>
        <w:t>. To drive down unit procurement costs and dilute massive capital expenditures in R&amp;D and automated tooling, enterprises must standardize generic components, build modular platforms, and share high-capital production lines across diverse customer orders and product variants. This imperative of resource sharing weaves the enterprise into a dense, interconnected topological web, where every order is constrained by two physical laws:</w:t>
      </w:r>
    </w:p>
    <w:p w14:paraId="69A629C1" w14:textId="77777777" w:rsidR="00A465D6" w:rsidRDefault="00420AE6">
      <w:pPr>
        <w:pStyle w:val="a0"/>
      </w:pPr>
      <w:r>
        <w:t xml:space="preserve">The first constraint is horizontal </w:t>
      </w:r>
      <w:r>
        <w:rPr>
          <w:b/>
          <w:bCs/>
        </w:rPr>
        <w:t>“one-to-many” exclusive allocation</w:t>
      </w:r>
      <w:r>
        <w:t xml:space="preserve">. A single shared component, Part </w:t>
      </w:r>
      <m:oMath>
        <m:r>
          <w:rPr>
            <w:rFonts w:ascii="Cambria Math" w:hAnsi="Cambria Math"/>
          </w:rPr>
          <m:t>A</m:t>
        </m:r>
      </m:oMath>
      <w:r>
        <w:t>, can be routed to either Demand 1 or Demand 2. But physical components are discrete, indivisible entities possessing strict spatial exclusivity: the exact on-hand unit allocated and locked to one order at a given moment is physically inaccessible to all other topologically linked orders.</w:t>
      </w:r>
    </w:p>
    <w:p w14:paraId="269CC27B" w14:textId="77777777" w:rsidR="00A465D6" w:rsidRDefault="00420AE6">
      <w:pPr>
        <w:pStyle w:val="a0"/>
      </w:pPr>
      <w:r>
        <w:t xml:space="preserve">The second constraint is vertical </w:t>
      </w:r>
      <w:r>
        <w:rPr>
          <w:b/>
          <w:bCs/>
        </w:rPr>
        <w:t>“multi-material kitting” bottlenecking</w:t>
      </w:r>
      <w:r>
        <w:t xml:space="preserve">. Assembling a physical product requires the simultaneous presence of every component specified in its Bill of Materials (BOM); missing a single screw halts the assembly line. Therefore, the earliest point in time an order </w:t>
      </w:r>
      <w:r>
        <w:lastRenderedPageBreak/>
        <w:t xml:space="preserve">can physically complete kitting and begin assembly is strictly determined by its slowest, latest-arriving </w:t>
      </w:r>
      <w:r>
        <w:rPr>
          <w:b/>
          <w:bCs/>
        </w:rPr>
        <w:t>gating item</w:t>
      </w:r>
      <w:r>
        <w:t>:</w:t>
      </w:r>
    </w:p>
    <w:p w14:paraId="66DDBBB4" w14:textId="77777777" w:rsidR="00A465D6" w:rsidRDefault="00420AE6">
      <w:pPr>
        <w:pStyle w:val="a0"/>
      </w:pPr>
      <m:oMathPara>
        <m:oMathParaPr>
          <m:jc m:val="center"/>
        </m:oMathParaPr>
        <m:oMath>
          <m:r>
            <m:rPr>
              <m:nor/>
            </m:rPr>
            <m:t>True Earliest Physical Commitment Time</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r</m:t>
              </m:r>
              <m:r>
                <m:rPr>
                  <m:sty m:val="p"/>
                </m:rPr>
                <w:rPr>
                  <w:rFonts w:ascii="Cambria Math" w:hAnsi="Cambria Math"/>
                </w:rPr>
                <m:t>∈</m:t>
              </m:r>
              <m:r>
                <m:rPr>
                  <m:nor/>
                </m:rPr>
                <m:t>BOM</m:t>
              </m:r>
            </m:lim>
          </m:limLow>
          <m:r>
            <m:rPr>
              <m:sty m:val="p"/>
            </m:rPr>
            <w:rPr>
              <w:rFonts w:ascii="Cambria Math" w:hAnsi="Cambria Math"/>
            </w:rPr>
            <m:t>(</m:t>
          </m:r>
          <m:sSub>
            <m:sSubPr>
              <m:ctrlPr>
                <w:rPr>
                  <w:rFonts w:ascii="Cambria Math" w:hAnsi="Cambria Math"/>
                </w:rPr>
              </m:ctrlPr>
            </m:sSubPr>
            <m:e>
              <m:r>
                <m:rPr>
                  <m:nor/>
                </m:rPr>
                <m:t>Resource Ready Time</m:t>
              </m:r>
            </m:e>
            <m:sub>
              <m:r>
                <w:rPr>
                  <w:rFonts w:ascii="Cambria Math" w:hAnsi="Cambria Math"/>
                </w:rPr>
                <m:t>r</m:t>
              </m:r>
            </m:sub>
          </m:sSub>
          <m:r>
            <m:rPr>
              <m:sty m:val="p"/>
            </m:rPr>
            <w:rPr>
              <w:rFonts w:ascii="Cambria Math" w:hAnsi="Cambria Math"/>
            </w:rPr>
            <m:t>)+</m:t>
          </m:r>
          <m:r>
            <m:rPr>
              <m:nor/>
            </m:rPr>
            <m:t>Processing Lead Time</m:t>
          </m:r>
        </m:oMath>
      </m:oMathPara>
    </w:p>
    <w:p w14:paraId="6376CC1E" w14:textId="77777777" w:rsidR="00A465D6" w:rsidRDefault="00420AE6">
      <w:pPr>
        <w:pStyle w:val="FirstParagraph"/>
      </w:pPr>
      <w:r>
        <w:t xml:space="preserve">This physical reality applies not only to raw materials, but also to machine stations, line labor, and working capital, all of which share identical topological structures. Horizontally, single resource nodes branch into multiple demand destinations; vertically, each destination is constrained by its respective gating components. The intersection of these two structural dimensions casts the enterprise into a fragile, highly entangled </w:t>
      </w:r>
      <w:r>
        <w:rPr>
          <w:b/>
          <w:bCs/>
        </w:rPr>
        <w:t>network-wide coupled state</w:t>
      </w:r>
      <w:r>
        <w:t>. As long as an enterprise pursues economies of scale, this physical coupling remains an immutable fact.</w:t>
      </w:r>
    </w:p>
    <w:p w14:paraId="5F819208" w14:textId="77777777" w:rsidR="00A465D6" w:rsidRDefault="00420AE6">
      <w:r>
        <w:pict w14:anchorId="02EB6A12">
          <v:rect id="_x0000_i1028" style="width:0;height:1.5pt" o:hralign="center" o:hrstd="t" o:hr="t"/>
        </w:pict>
      </w:r>
    </w:p>
    <w:p w14:paraId="08CC35C5" w14:textId="77777777" w:rsidR="00A465D6" w:rsidRDefault="00420AE6">
      <w:pPr>
        <w:pStyle w:val="3"/>
      </w:pPr>
      <w:bookmarkStart w:id="4" w:name="X135dec21e2dac1701fe1e511dd9a8a298d7a31c"/>
      <w:bookmarkEnd w:id="3"/>
      <w:r>
        <w:t>3. A Minimal Example with Two Demands and Three Parts: Deriving the Law and Its Three Corollaries</w:t>
      </w:r>
    </w:p>
    <w:p w14:paraId="1D377985" w14:textId="77777777" w:rsidR="00A465D6" w:rsidRDefault="00420AE6">
      <w:pPr>
        <w:pStyle w:val="FirstParagraph"/>
      </w:pPr>
      <w:r>
        <w:t>Let us now trace the exact sequence of resource allocation in a minimal, self-contained example featuring “two demands and three parts,” operating under our sterile benchmark (100% forecast accuracy, 100% clean data, and zero human error).</w:t>
      </w:r>
    </w:p>
    <w:p w14:paraId="743DAA92" w14:textId="77777777" w:rsidR="00A465D6" w:rsidRDefault="00420AE6">
      <w:pPr>
        <w:pStyle w:val="a0"/>
      </w:pPr>
      <w:r>
        <w:t>It must be emphasized at the outset: this minimal scenario is not an isolated shop-floor anomaly. Its time bucket can represent a day, a week, or a month. Whether at the strategic horizon (monthly S&amp;OP), the tactical horizon (weekly Master Production Scheduling / ITP), or the operational horizon (daily shop-floor kitting / MRP/IOP), the fundamental managerial action is identical: synchronizing supply and demand, and prioritizing resource allocation. Wherever an enterprise shares resources and prioritizes al</w:t>
      </w:r>
      <w:r>
        <w:t>location, the following four-step chain reaction unfolds deterministically across all echelons.</w:t>
      </w:r>
    </w:p>
    <w:p w14:paraId="7CC59946" w14:textId="77777777" w:rsidR="00A465D6" w:rsidRDefault="00420AE6">
      <w:pPr>
        <w:pStyle w:val="a0"/>
      </w:pPr>
      <w:r>
        <w:t xml:space="preserve">Consider the initial state (assuming zero assembly processing time for arithmetic simplicity): * </w:t>
      </w:r>
      <w:r>
        <w:rPr>
          <w:b/>
          <w:bCs/>
        </w:rPr>
        <w:t>Demand 1</w:t>
      </w:r>
      <w:r>
        <w:t xml:space="preserve">: Assembled from shared Part </w:t>
      </w:r>
      <m:oMath>
        <m:r>
          <w:rPr>
            <w:rFonts w:ascii="Cambria Math" w:hAnsi="Cambria Math"/>
          </w:rPr>
          <m:t>A</m:t>
        </m:r>
      </m:oMath>
      <w:r>
        <w:t xml:space="preserve"> and dedicated Part </w:t>
      </w:r>
      <m:oMath>
        <m:r>
          <w:rPr>
            <w:rFonts w:ascii="Cambria Math" w:hAnsi="Cambria Math"/>
          </w:rPr>
          <m:t>B</m:t>
        </m:r>
      </m:oMath>
      <w:r>
        <w:t xml:space="preserve">; requested delivery at Period 2 (Day/Week/Month 2); assigned a Low business priority; * </w:t>
      </w:r>
      <w:r>
        <w:rPr>
          <w:b/>
          <w:bCs/>
        </w:rPr>
        <w:t>Demand 2</w:t>
      </w:r>
      <w:r>
        <w:t xml:space="preserve">: Assembled from shared Part </w:t>
      </w:r>
      <m:oMath>
        <m:r>
          <w:rPr>
            <w:rFonts w:ascii="Cambria Math" w:hAnsi="Cambria Math"/>
          </w:rPr>
          <m:t>A</m:t>
        </m:r>
      </m:oMath>
      <w:r>
        <w:t xml:space="preserve"> and dedicated gating Part </w:t>
      </w:r>
      <m:oMath>
        <m:r>
          <w:rPr>
            <w:rFonts w:ascii="Cambria Math" w:hAnsi="Cambria Math"/>
          </w:rPr>
          <m:t>C</m:t>
        </m:r>
      </m:oMath>
      <w:r>
        <w:t>; requested delivery at Period 3 (Day/Week/Month 3); assigned a High business priority (</w:t>
      </w:r>
      <m:oMath>
        <m:r>
          <m:rPr>
            <m:scr m:val="script"/>
            <m:sty m:val="p"/>
          </m:rP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)&gt;</m:t>
        </m:r>
        <m:r>
          <m:rPr>
            <m:scr m:val="script"/>
            <m:sty m:val="p"/>
          </m:rP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oMath>
      <w:r>
        <w:t xml:space="preserve">); * </w:t>
      </w:r>
      <w:r>
        <w:rPr>
          <w:b/>
          <w:bCs/>
        </w:rPr>
        <w:t>Supply Availability</w:t>
      </w:r>
      <w:r>
        <w:t xml:space="preserve">: At Period 1, initial warehouse stock contains exactly 1 unit of shared Part </w:t>
      </w:r>
      <m:oMath>
        <m:r>
          <w:rPr>
            <w:rFonts w:ascii="Cambria Math" w:hAnsi="Cambria Math"/>
          </w:rPr>
          <m:t>A</m:t>
        </m:r>
      </m:oMath>
      <w:r>
        <w:t xml:space="preserve"> (sufficient for only one demand), while Part </w:t>
      </w:r>
      <m:oMath>
        <m:r>
          <w:rPr>
            <w:rFonts w:ascii="Cambria Math" w:hAnsi="Cambria Math"/>
          </w:rPr>
          <m:t>B</m:t>
        </m:r>
      </m:oMath>
      <w:r>
        <w:t xml:space="preserve"> inventory is plentiful; 1 unit of Part </w:t>
      </w:r>
      <m:oMath>
        <m:r>
          <w:rPr>
            <w:rFonts w:ascii="Cambria Math" w:hAnsi="Cambria Math"/>
          </w:rPr>
          <m:t>A</m:t>
        </m:r>
      </m:oMath>
      <w:r>
        <w:t xml:space="preserve"> is scheduled to arrive in transit at Period 3; and the dedicated gating Part </w:t>
      </w:r>
      <m:oMath>
        <m:r>
          <w:rPr>
            <w:rFonts w:ascii="Cambria Math" w:hAnsi="Cambria Math"/>
          </w:rPr>
          <m:t>C</m:t>
        </m:r>
      </m:oMath>
      <w:r>
        <w:t xml:space="preserve"> for Demand 2 will not arrive until Period 4.</w:t>
      </w:r>
    </w:p>
    <w:p w14:paraId="4396048C" w14:textId="77777777" w:rsidR="00A465D6" w:rsidRDefault="00420AE6">
      <w:pPr>
        <w:pStyle w:val="a0"/>
      </w:pPr>
      <w:r>
        <w:t>First, examine the objective physical facts:</w:t>
      </w:r>
      <w:r>
        <w:br/>
        <w:t xml:space="preserve">Demand 1 has ample Part </w:t>
      </w:r>
      <m:oMath>
        <m:r>
          <w:rPr>
            <w:rFonts w:ascii="Cambria Math" w:hAnsi="Cambria Math"/>
          </w:rPr>
          <m:t>B</m:t>
        </m:r>
      </m:oMath>
      <w:r>
        <w:t xml:space="preserve"> in stock. The moment it receives on-hand Part </w:t>
      </w:r>
      <m:oMath>
        <m:r>
          <w:rPr>
            <w:rFonts w:ascii="Cambria Math" w:hAnsi="Cambria Math"/>
          </w:rPr>
          <m:t>A</m:t>
        </m:r>
      </m:oMath>
      <w:r>
        <w:t xml:space="preserve"> </w:t>
      </w:r>
      <w:r>
        <w:t>at Period 1, its BOM is 100% complete, allowing it to easily fulfill its delivery commitment at Period 2.</w:t>
      </w:r>
      <w:r>
        <w:br/>
        <w:t xml:space="preserve">Demand 2, despite its higher commercial priority and Period 3 due date, is physically constrained by Part </w:t>
      </w:r>
      <m:oMath>
        <m:r>
          <w:rPr>
            <w:rFonts w:ascii="Cambria Math" w:hAnsi="Cambria Math"/>
          </w:rPr>
          <m:t>C</m:t>
        </m:r>
      </m:oMath>
      <w:r>
        <w:t>, which arrives at Period 4. Its earliest physical kitting date is firmly pinned to Period 4. An inversion has occurred: the higher-priority demand has a later physical kitting date (Period 4) than the lower-priority demand (Period 1).</w:t>
      </w:r>
    </w:p>
    <w:p w14:paraId="6D393AE9" w14:textId="77777777" w:rsidR="00A465D6" w:rsidRDefault="00420AE6">
      <w:pPr>
        <w:pStyle w:val="a0"/>
      </w:pPr>
      <w:r>
        <w:t>Yet, in conventional S&amp;OP practices and across all legacy planning software (both MRP and APS engines), human planners and algorithms instinctively equate “high priority” with “early allocation,” greedily locking resources in descending order of priority. Consequently, the following four steps occur without fail:</w:t>
      </w:r>
    </w:p>
    <w:p w14:paraId="4795E47F" w14:textId="77777777" w:rsidR="00A465D6" w:rsidRDefault="00420AE6">
      <w:pPr>
        <w:pStyle w:val="Compact"/>
        <w:numPr>
          <w:ilvl w:val="0"/>
          <w:numId w:val="2"/>
        </w:numPr>
      </w:pPr>
      <w:r>
        <w:rPr>
          <w:b/>
          <w:bCs/>
        </w:rPr>
        <w:t>Step 1</w:t>
      </w:r>
      <w:r>
        <w:t xml:space="preserve">: The engine evaluates high-priority Demand 2 first, rigidly locking the single on-hand unit of Stock </w:t>
      </w:r>
      <m:oMath>
        <m:r>
          <w:rPr>
            <w:rFonts w:ascii="Cambria Math" w:hAnsi="Cambria Math"/>
          </w:rPr>
          <m:t>A</m:t>
        </m:r>
      </m:oMath>
      <w:r>
        <w:t xml:space="preserve"> (available at Period 1) to Demand 2, and matching it with gating Part </w:t>
      </w:r>
      <m:oMath>
        <m:r>
          <w:rPr>
            <w:rFonts w:ascii="Cambria Math" w:hAnsi="Cambria Math"/>
          </w:rPr>
          <m:t>C</m:t>
        </m:r>
      </m:oMath>
      <w:r>
        <w:t xml:space="preserve"> arriving at Period 4. However, because Part </w:t>
      </w:r>
      <m:oMath>
        <m:r>
          <w:rPr>
            <w:rFonts w:ascii="Cambria Math" w:hAnsi="Cambria Math"/>
          </w:rPr>
          <m:t>C</m:t>
        </m:r>
      </m:oMath>
      <w:r>
        <w:t xml:space="preserve"> does not arrive until Period 4, Demand 2 cannot commence assembly. Highly liquid Stock </w:t>
      </w:r>
      <m:oMath>
        <m:r>
          <w:rPr>
            <w:rFonts w:ascii="Cambria Math" w:hAnsi="Cambria Math"/>
          </w:rPr>
          <m:t>A</m:t>
        </m:r>
      </m:oMath>
      <w:r>
        <w:t xml:space="preserve"> sits completely idle on warehouse racks from Period 1 to Period 4, trapped in non-productive dormancy for three full periods.</w:t>
      </w:r>
    </w:p>
    <w:p w14:paraId="5C6BACAF" w14:textId="77777777" w:rsidR="00A465D6" w:rsidRDefault="00420AE6">
      <w:pPr>
        <w:pStyle w:val="Compact"/>
        <w:numPr>
          <w:ilvl w:val="0"/>
          <w:numId w:val="2"/>
        </w:numPr>
      </w:pPr>
      <w:r>
        <w:rPr>
          <w:b/>
          <w:bCs/>
        </w:rPr>
        <w:lastRenderedPageBreak/>
        <w:t>Step 2</w:t>
      </w:r>
      <w:r>
        <w:t xml:space="preserve">: The engine processes Demand 1, which requires delivery at Period 2. Although dedicated Part </w:t>
      </w:r>
      <m:oMath>
        <m:r>
          <w:rPr>
            <w:rFonts w:ascii="Cambria Math" w:hAnsi="Cambria Math"/>
          </w:rPr>
          <m:t>B</m:t>
        </m:r>
      </m:oMath>
      <w:r>
        <w:t xml:space="preserve"> is plentiful and assembly stations are open, shared Part </w:t>
      </w:r>
      <m:oMath>
        <m:r>
          <w:rPr>
            <w:rFonts w:ascii="Cambria Math" w:hAnsi="Cambria Math"/>
          </w:rPr>
          <m:t>A</m:t>
        </m:r>
      </m:oMath>
      <w:r>
        <w:t xml:space="preserve"> has already been locked by Demand 2. Demand 1 suffers an immediate component starvation; assembly lines are forced to idle during Periods 1 and 2, and precious manufacturing capacity is irreversibly annihilated as time lapses.</w:t>
      </w:r>
    </w:p>
    <w:p w14:paraId="29CC9988" w14:textId="77777777" w:rsidR="00A465D6" w:rsidRDefault="00420AE6">
      <w:pPr>
        <w:pStyle w:val="Compact"/>
        <w:numPr>
          <w:ilvl w:val="0"/>
          <w:numId w:val="2"/>
        </w:numPr>
      </w:pPr>
      <w:r>
        <w:rPr>
          <w:b/>
          <w:bCs/>
        </w:rPr>
        <w:t>Step 3</w:t>
      </w:r>
      <w:r>
        <w:t xml:space="preserve">: With initial Stock </w:t>
      </w:r>
      <m:oMath>
        <m:r>
          <w:rPr>
            <w:rFonts w:ascii="Cambria Math" w:hAnsi="Cambria Math"/>
          </w:rPr>
          <m:t>A</m:t>
        </m:r>
      </m:oMath>
      <w:r>
        <w:t xml:space="preserve"> preempted, the engine reassigns the in-transit shipment of Part </w:t>
      </w:r>
      <m:oMath>
        <m:r>
          <w:rPr>
            <w:rFonts w:ascii="Cambria Math" w:hAnsi="Cambria Math"/>
          </w:rPr>
          <m:t>A</m:t>
        </m:r>
      </m:oMath>
      <w:r>
        <w:t xml:space="preserve"> (arriving at Period 3) to Demand 1. Demand 1, which was physically capable of fulfilling its commitment on time at Period 2, is forcibly postponed to Period 3, triggering a delivery default (“Late”).</w:t>
      </w:r>
    </w:p>
    <w:p w14:paraId="292AB5B9" w14:textId="77777777" w:rsidR="00A465D6" w:rsidRDefault="00420AE6">
      <w:pPr>
        <w:pStyle w:val="Compact"/>
        <w:numPr>
          <w:ilvl w:val="0"/>
          <w:numId w:val="2"/>
        </w:numPr>
      </w:pPr>
      <w:r>
        <w:rPr>
          <w:b/>
          <w:bCs/>
        </w:rPr>
        <w:t>Step 4</w:t>
      </w:r>
      <w:r>
        <w:t>: Tabulating these supply-demand allocation states across the four periods reveals that the two allocation trajectories have twisted into a rigid spatiotemporal deadlock:</w:t>
      </w:r>
    </w:p>
    <w:tbl>
      <w:tblPr>
        <w:tblStyle w:val="Table"/>
        <w:tblW w:w="5000" w:type="pct"/>
        <w:tblLayout w:type="fixed"/>
        <w:tblLook w:val="0020" w:firstRow="1" w:lastRow="0" w:firstColumn="0" w:lastColumn="0" w:noHBand="0" w:noVBand="0"/>
      </w:tblPr>
      <w:tblGrid>
        <w:gridCol w:w="2310"/>
        <w:gridCol w:w="2311"/>
        <w:gridCol w:w="2311"/>
        <w:gridCol w:w="2311"/>
      </w:tblGrid>
      <w:tr w:rsidR="00A465D6" w14:paraId="57567E73" w14:textId="77777777" w:rsidTr="00A465D6">
        <w:trPr>
          <w:cnfStyle w:val="100000000000" w:firstRow="1" w:lastRow="0" w:firstColumn="0" w:lastColumn="0" w:oddVBand="0" w:evenVBand="0" w:oddHBand="0" w:evenHBand="0" w:firstRowFirstColumn="0" w:firstRowLastColumn="0" w:lastRowFirstColumn="0" w:lastRowLastColumn="0"/>
          <w:tblHeader/>
        </w:trPr>
        <w:tc>
          <w:tcPr>
            <w:tcW w:w="1980" w:type="dxa"/>
          </w:tcPr>
          <w:p w14:paraId="668A4056" w14:textId="77777777" w:rsidR="00A465D6" w:rsidRDefault="00420AE6">
            <w:pPr>
              <w:pStyle w:val="Compact"/>
            </w:pPr>
            <w:r>
              <w:t>Period</w:t>
            </w:r>
          </w:p>
        </w:tc>
        <w:tc>
          <w:tcPr>
            <w:tcW w:w="1980" w:type="dxa"/>
          </w:tcPr>
          <w:p w14:paraId="60D3240B" w14:textId="77777777" w:rsidR="00A465D6" w:rsidRDefault="00420AE6">
            <w:pPr>
              <w:pStyle w:val="Compact"/>
            </w:pPr>
            <w:r>
              <w:t>Demand 1 (Low Priority, Due t=2, BOM: A+B)</w:t>
            </w:r>
          </w:p>
        </w:tc>
        <w:tc>
          <w:tcPr>
            <w:tcW w:w="1980" w:type="dxa"/>
          </w:tcPr>
          <w:p w14:paraId="1F1A9D0E" w14:textId="77777777" w:rsidR="00A465D6" w:rsidRDefault="00420AE6">
            <w:pPr>
              <w:pStyle w:val="Compact"/>
            </w:pPr>
            <w:r>
              <w:t>Demand 2 (High Priority, Due t=3, BOM: A+C)</w:t>
            </w:r>
          </w:p>
        </w:tc>
        <w:tc>
          <w:tcPr>
            <w:tcW w:w="1980" w:type="dxa"/>
          </w:tcPr>
          <w:p w14:paraId="5B07DA81" w14:textId="77777777" w:rsidR="00A465D6" w:rsidRDefault="00420AE6">
            <w:pPr>
              <w:pStyle w:val="Compact"/>
            </w:pPr>
            <w:r>
              <w:t>Physical Supply &amp; Factory State</w:t>
            </w:r>
          </w:p>
        </w:tc>
      </w:tr>
      <w:tr w:rsidR="00A465D6" w14:paraId="5C456D80" w14:textId="77777777">
        <w:tc>
          <w:tcPr>
            <w:tcW w:w="1980" w:type="dxa"/>
          </w:tcPr>
          <w:p w14:paraId="2C3DD7B9" w14:textId="77777777" w:rsidR="00A465D6" w:rsidRDefault="00420AE6">
            <w:pPr>
              <w:pStyle w:val="Compact"/>
            </w:pPr>
            <w:r>
              <w:rPr>
                <w:b/>
                <w:bCs/>
              </w:rPr>
              <w:t>Period 1</w:t>
            </w:r>
          </w:p>
        </w:tc>
        <w:tc>
          <w:tcPr>
            <w:tcW w:w="1980" w:type="dxa"/>
          </w:tcPr>
          <w:p w14:paraId="5B8994CB" w14:textId="77777777" w:rsidR="00A465D6" w:rsidRDefault="00420AE6">
            <w:pPr>
              <w:pStyle w:val="Compact"/>
            </w:pPr>
            <w:r>
              <w:t xml:space="preserve">Capable of immediate kitting if given Stock </w:t>
            </w:r>
            <m:oMath>
              <m:r>
                <w:rPr>
                  <w:rFonts w:ascii="Cambria Math" w:hAnsi="Cambria Math"/>
                </w:rPr>
                <m:t>A</m:t>
              </m:r>
            </m:oMath>
          </w:p>
        </w:tc>
        <w:tc>
          <w:tcPr>
            <w:tcW w:w="1980" w:type="dxa"/>
          </w:tcPr>
          <w:p w14:paraId="481E1F9D" w14:textId="77777777" w:rsidR="00A465D6" w:rsidRDefault="00420AE6">
            <w:pPr>
              <w:pStyle w:val="Compact"/>
            </w:pPr>
            <w:r>
              <w:t xml:space="preserve">Exclusively locks only on-hand Stock </w:t>
            </w:r>
            <m:oMath>
              <m:r>
                <w:rPr>
                  <w:rFonts w:ascii="Cambria Math" w:hAnsi="Cambria Math"/>
                </w:rPr>
                <m:t>A</m:t>
              </m:r>
            </m:oMath>
            <w:r>
              <w:t xml:space="preserve"> (Deadlock Origin)</w:t>
            </w:r>
          </w:p>
        </w:tc>
        <w:tc>
          <w:tcPr>
            <w:tcW w:w="1980" w:type="dxa"/>
          </w:tcPr>
          <w:p w14:paraId="46AFAB24" w14:textId="77777777" w:rsidR="00A465D6" w:rsidRDefault="00420AE6">
            <w:pPr>
              <w:pStyle w:val="Compact"/>
            </w:pPr>
            <w:r>
              <w:t xml:space="preserve">Stock </w:t>
            </w:r>
            <m:oMath>
              <m:r>
                <w:rPr>
                  <w:rFonts w:ascii="Cambria Math" w:hAnsi="Cambria Math"/>
                </w:rPr>
                <m:t>A</m:t>
              </m:r>
            </m:oMath>
            <w:r>
              <w:t xml:space="preserve"> (1 unit), Stock </w:t>
            </w:r>
            <m:oMath>
              <m:r>
                <w:rPr>
                  <w:rFonts w:ascii="Cambria Math" w:hAnsi="Cambria Math"/>
                </w:rPr>
                <m:t>B</m:t>
              </m:r>
            </m:oMath>
            <w:r>
              <w:t xml:space="preserve"> (Plentiful)</w:t>
            </w:r>
          </w:p>
        </w:tc>
      </w:tr>
      <w:tr w:rsidR="00A465D6" w14:paraId="7CA341FD" w14:textId="77777777">
        <w:tc>
          <w:tcPr>
            <w:tcW w:w="1980" w:type="dxa"/>
          </w:tcPr>
          <w:p w14:paraId="6E86B724" w14:textId="77777777" w:rsidR="00A465D6" w:rsidRDefault="00420AE6">
            <w:pPr>
              <w:pStyle w:val="Compact"/>
            </w:pPr>
            <w:r>
              <w:rPr>
                <w:b/>
                <w:bCs/>
              </w:rPr>
              <w:t>Period 2</w:t>
            </w:r>
          </w:p>
        </w:tc>
        <w:tc>
          <w:tcPr>
            <w:tcW w:w="1980" w:type="dxa"/>
          </w:tcPr>
          <w:p w14:paraId="412CD2A5" w14:textId="77777777" w:rsidR="00A465D6" w:rsidRDefault="00420AE6">
            <w:pPr>
              <w:pStyle w:val="Compact"/>
            </w:pPr>
            <w:r>
              <w:t xml:space="preserve">Starved of Part </w:t>
            </w:r>
            <m:oMath>
              <m:r>
                <w:rPr>
                  <w:rFonts w:ascii="Cambria Math" w:hAnsi="Cambria Math"/>
                </w:rPr>
                <m:t>A</m:t>
              </m:r>
            </m:oMath>
            <w:r>
              <w:t>; assembly stalled, line idle</w:t>
            </w:r>
          </w:p>
        </w:tc>
        <w:tc>
          <w:tcPr>
            <w:tcW w:w="1980" w:type="dxa"/>
          </w:tcPr>
          <w:p w14:paraId="6F99D370" w14:textId="77777777" w:rsidR="00A465D6" w:rsidRDefault="00420AE6">
            <w:pPr>
              <w:pStyle w:val="Compact"/>
            </w:pPr>
            <w:r>
              <w:t xml:space="preserve">Waits idly in warehouse for Part </w:t>
            </w:r>
            <m:oMath>
              <m:r>
                <w:rPr>
                  <w:rFonts w:ascii="Cambria Math" w:hAnsi="Cambria Math"/>
                </w:rPr>
                <m:t>C</m:t>
              </m:r>
            </m:oMath>
            <w:r>
              <w:t xml:space="preserve"> (Stock </w:t>
            </w:r>
            <m:oMath>
              <m:r>
                <w:rPr>
                  <w:rFonts w:ascii="Cambria Math" w:hAnsi="Cambria Math"/>
                </w:rPr>
                <m:t>A</m:t>
              </m:r>
            </m:oMath>
            <w:r>
              <w:t xml:space="preserve"> sits idle)</w:t>
            </w:r>
          </w:p>
        </w:tc>
        <w:tc>
          <w:tcPr>
            <w:tcW w:w="1980" w:type="dxa"/>
          </w:tcPr>
          <w:p w14:paraId="7B51652C" w14:textId="77777777" w:rsidR="00A465D6" w:rsidRDefault="00420AE6">
            <w:pPr>
              <w:pStyle w:val="Compact"/>
            </w:pPr>
            <w:r>
              <w:t>Demand 1 misses its legitimate on-time delivery window</w:t>
            </w:r>
          </w:p>
        </w:tc>
      </w:tr>
      <w:tr w:rsidR="00A465D6" w14:paraId="7C7FC6BC" w14:textId="77777777">
        <w:tc>
          <w:tcPr>
            <w:tcW w:w="1980" w:type="dxa"/>
          </w:tcPr>
          <w:p w14:paraId="1E27949A" w14:textId="77777777" w:rsidR="00A465D6" w:rsidRDefault="00420AE6">
            <w:pPr>
              <w:pStyle w:val="Compact"/>
            </w:pPr>
            <w:r>
              <w:rPr>
                <w:b/>
                <w:bCs/>
              </w:rPr>
              <w:t>Period 3</w:t>
            </w:r>
          </w:p>
        </w:tc>
        <w:tc>
          <w:tcPr>
            <w:tcW w:w="1980" w:type="dxa"/>
          </w:tcPr>
          <w:p w14:paraId="6F7C9E00" w14:textId="77777777" w:rsidR="00A465D6" w:rsidRDefault="00420AE6">
            <w:pPr>
              <w:pStyle w:val="Compact"/>
            </w:pPr>
            <w:r>
              <w:t xml:space="preserve">Forced to take in-transit Part </w:t>
            </w:r>
            <m:oMath>
              <m:r>
                <w:rPr>
                  <w:rFonts w:ascii="Cambria Math" w:hAnsi="Cambria Math"/>
                </w:rPr>
                <m:t>A</m:t>
              </m:r>
            </m:oMath>
            <w:r>
              <w:t>; delivery delayed</w:t>
            </w:r>
          </w:p>
        </w:tc>
        <w:tc>
          <w:tcPr>
            <w:tcW w:w="1980" w:type="dxa"/>
          </w:tcPr>
          <w:p w14:paraId="1AC65FD6" w14:textId="77777777" w:rsidR="00A465D6" w:rsidRDefault="00420AE6">
            <w:pPr>
              <w:pStyle w:val="Compact"/>
            </w:pPr>
            <w:r>
              <w:t xml:space="preserve">Still waiting idly for gating Part </w:t>
            </w:r>
            <m:oMath>
              <m:r>
                <w:rPr>
                  <w:rFonts w:ascii="Cambria Math" w:hAnsi="Cambria Math"/>
                </w:rPr>
                <m:t>C</m:t>
              </m:r>
            </m:oMath>
          </w:p>
        </w:tc>
        <w:tc>
          <w:tcPr>
            <w:tcW w:w="1980" w:type="dxa"/>
          </w:tcPr>
          <w:p w14:paraId="475755B4" w14:textId="77777777" w:rsidR="00A465D6" w:rsidRDefault="00420AE6">
            <w:pPr>
              <w:pStyle w:val="Compact"/>
            </w:pPr>
            <w:r>
              <w:t xml:space="preserve">In-transit Receipt </w:t>
            </w:r>
            <m:oMath>
              <m:r>
                <w:rPr>
                  <w:rFonts w:ascii="Cambria Math" w:hAnsi="Cambria Math"/>
                </w:rPr>
                <m:t>A</m:t>
              </m:r>
            </m:oMath>
            <w:r>
              <w:t xml:space="preserve"> (1 unit) arrives</w:t>
            </w:r>
          </w:p>
        </w:tc>
      </w:tr>
      <w:tr w:rsidR="00A465D6" w14:paraId="410201B8" w14:textId="77777777">
        <w:tc>
          <w:tcPr>
            <w:tcW w:w="1980" w:type="dxa"/>
          </w:tcPr>
          <w:p w14:paraId="4CF80D29" w14:textId="77777777" w:rsidR="00A465D6" w:rsidRDefault="00420AE6">
            <w:pPr>
              <w:pStyle w:val="Compact"/>
            </w:pPr>
            <w:r>
              <w:rPr>
                <w:b/>
                <w:bCs/>
              </w:rPr>
              <w:t>Period 4</w:t>
            </w:r>
          </w:p>
        </w:tc>
        <w:tc>
          <w:tcPr>
            <w:tcW w:w="1980" w:type="dxa"/>
          </w:tcPr>
          <w:p w14:paraId="631DC944" w14:textId="77777777" w:rsidR="00A465D6" w:rsidRDefault="00420AE6">
            <w:pPr>
              <w:pStyle w:val="Compact"/>
            </w:pPr>
            <w:r>
              <w:t>Already delivered late</w:t>
            </w:r>
          </w:p>
        </w:tc>
        <w:tc>
          <w:tcPr>
            <w:tcW w:w="1980" w:type="dxa"/>
          </w:tcPr>
          <w:p w14:paraId="08BF1AB6" w14:textId="77777777" w:rsidR="00A465D6" w:rsidRDefault="00420AE6">
            <w:pPr>
              <w:pStyle w:val="Compact"/>
            </w:pPr>
            <w:r>
              <w:t xml:space="preserve">Part </w:t>
            </w:r>
            <m:oMath>
              <m:r>
                <w:rPr>
                  <w:rFonts w:ascii="Cambria Math" w:hAnsi="Cambria Math"/>
                </w:rPr>
                <m:t>C</m:t>
              </m:r>
            </m:oMath>
            <w:r>
              <w:t xml:space="preserve"> </w:t>
            </w:r>
            <w:r>
              <w:t>arrives; finally kits and delivers</w:t>
            </w:r>
          </w:p>
        </w:tc>
        <w:tc>
          <w:tcPr>
            <w:tcW w:w="1980" w:type="dxa"/>
          </w:tcPr>
          <w:p w14:paraId="267065E6" w14:textId="77777777" w:rsidR="00A465D6" w:rsidRDefault="00420AE6">
            <w:pPr>
              <w:pStyle w:val="Compact"/>
            </w:pPr>
            <w:r>
              <w:t xml:space="preserve">Gating Part </w:t>
            </w:r>
            <m:oMath>
              <m:r>
                <w:rPr>
                  <w:rFonts w:ascii="Cambria Math" w:hAnsi="Cambria Math"/>
                </w:rPr>
                <m:t>C</m:t>
              </m:r>
            </m:oMath>
            <w:r>
              <w:t xml:space="preserve"> (1 unit) arrives</w:t>
            </w:r>
          </w:p>
        </w:tc>
      </w:tr>
    </w:tbl>
    <w:p w14:paraId="0508CF88" w14:textId="77777777" w:rsidR="00A465D6" w:rsidRDefault="00420AE6">
      <w:pPr>
        <w:pStyle w:val="a0"/>
      </w:pPr>
      <w:r>
        <w:t xml:space="preserve">Examine the result in the table above: Demand 1, which urgently requires fulfillment early (Period 2), is forced to wait for late-arriving supply (Period 3); meanwhile Demand 2, which cannot physically assemble until Period 4, hoards early stock from Period 1. Demands capable of closing late consume early resources, while demands capable of closing early are pushed into late resources. This is a </w:t>
      </w:r>
      <w:r>
        <w:rPr>
          <w:b/>
          <w:bCs/>
        </w:rPr>
        <w:t>Spatiotemporal Cross-Mismatch</w:t>
      </w:r>
      <w:r>
        <w:t>.</w:t>
      </w:r>
    </w:p>
    <w:p w14:paraId="3E0E4629" w14:textId="77777777" w:rsidR="00A465D6" w:rsidRDefault="00420AE6">
      <w:pPr>
        <w:pStyle w:val="a0"/>
      </w:pPr>
      <w:r>
        <w:t xml:space="preserve">Could an enterprise circumvent this deadlock by switching from forward scheduling to backward scheduling (scheduling backward from customer due dates)? Not at all. Demand 2 requests delivery at Period 3; backward scheduling from Period 3 attempts to place component requirements before Period 3, but gating Part </w:t>
      </w:r>
      <m:oMath>
        <m:r>
          <w:rPr>
            <w:rFonts w:ascii="Cambria Math" w:hAnsi="Cambria Math"/>
          </w:rPr>
          <m:t>C</m:t>
        </m:r>
      </m:oMath>
      <w:r>
        <w:t xml:space="preserve"> does not arrive until Period 4. Because physical time is irreversible, backward scheduling immediately reports an infeasible solution. The system inevitably reverts to forward priority-based logic, locking on-hand Stock </w:t>
      </w:r>
      <m:oMath>
        <m:r>
          <w:rPr>
            <w:rFonts w:ascii="Cambria Math" w:hAnsi="Cambria Math"/>
          </w:rPr>
          <m:t>A</m:t>
        </m:r>
      </m:oMath>
      <w:r>
        <w:t xml:space="preserve"> to Demand 2 once again.</w:t>
      </w:r>
    </w:p>
    <w:p w14:paraId="44A65DBF" w14:textId="77777777" w:rsidR="00A465D6" w:rsidRDefault="00420AE6">
      <w:pPr>
        <w:pStyle w:val="a0"/>
      </w:pPr>
      <w:r>
        <w:t xml:space="preserve">We arrive at the fundamental question: why do we define this mechanism as an objective </w:t>
      </w:r>
      <w:r>
        <w:rPr>
          <w:b/>
          <w:bCs/>
        </w:rPr>
        <w:t>“Law”</w:t>
      </w:r>
      <w:r>
        <w:t xml:space="preserve"> rather than an operational mishap or a managerial hypothesis?</w:t>
      </w:r>
    </w:p>
    <w:p w14:paraId="3D6753D6" w14:textId="77777777" w:rsidR="00A465D6" w:rsidRDefault="00420AE6">
      <w:pPr>
        <w:pStyle w:val="a0"/>
      </w:pPr>
      <w:r>
        <w:t xml:space="preserve">In the philosophy of science, the criterion for a “law” is unambiguous: when all external noise (forecasting errors, data defects) and human mistakes are stripped away, any proposition derived with 100% necessity purely from foundational physical axioms—material spatial exclusivity, multi-component gating constraints, the irreversible arrow of time, and the resulting non-commutative nature of sequential allocation operators—constitutes a rigorous </w:t>
      </w:r>
      <w:r>
        <w:rPr>
          <w:b/>
          <w:bCs/>
        </w:rPr>
        <w:t>mathematical theorem</w:t>
      </w:r>
      <w:r>
        <w:t xml:space="preserve"> in formal logic and an unyielding </w:t>
      </w:r>
      <w:r>
        <w:rPr>
          <w:b/>
          <w:bCs/>
        </w:rPr>
        <w:t>physical law</w:t>
      </w:r>
      <w:r>
        <w:t xml:space="preserve"> in the real world. It shares the exact scientific stature of Little’s Law (</w:t>
      </w:r>
      <m:oMath>
        <m:r>
          <w:rPr>
            <w:rFonts w:ascii="Cambria Math" w:hAnsi="Cambria Math"/>
          </w:rPr>
          <m:t>L</m:t>
        </m:r>
        <m:r>
          <m:rPr>
            <m:sty m:val="p"/>
          </m:rPr>
          <w:rPr>
            <w:rFonts w:ascii="Cambria Math" w:hAnsi="Cambria Math"/>
          </w:rPr>
          <m:t>=</m:t>
        </m:r>
        <m:r>
          <w:rPr>
            <w:rFonts w:ascii="Cambria Math" w:hAnsi="Cambria Math"/>
          </w:rPr>
          <m:t>λW</m:t>
        </m:r>
      </m:oMath>
      <w:r>
        <w:t>) in industrial engineering.</w:t>
      </w:r>
    </w:p>
    <w:p w14:paraId="4007FE5A" w14:textId="77777777" w:rsidR="00A465D6" w:rsidRDefault="00420AE6">
      <w:pPr>
        <w:pStyle w:val="a0"/>
      </w:pPr>
      <w:r>
        <w:t>We state this law and its three necessary corollaries in their most concise formulation:</w:t>
      </w:r>
    </w:p>
    <w:p w14:paraId="0DB592B9" w14:textId="77777777" w:rsidR="00A465D6" w:rsidRDefault="00420AE6">
      <w:pPr>
        <w:pStyle w:val="aa"/>
      </w:pPr>
      <w:r>
        <w:rPr>
          <w:b/>
          <w:bCs/>
        </w:rPr>
        <w:t>The Law of Sequencing Coupling</w:t>
      </w:r>
      <w:r>
        <w:t>:</w:t>
      </w:r>
      <w:r>
        <w:br/>
        <w:t xml:space="preserve">Whenever a manufacturing system shares resources to pursue economies of scale, forming </w:t>
      </w:r>
      <w:r>
        <w:lastRenderedPageBreak/>
        <w:t xml:space="preserve">an entangled “one-node-to-many-destinations, multi-material-kitting” network topology, sequential resource allocation and exclusive inventory locking driven by static local priorities inevitably force late-kitting demands (gated by component shortages) to monopolize early shared resources. This cascade blocks topologically linked early-kitting demands, deterministically (100%) generating a spatiotemporal cross-mismatch </w:t>
      </w:r>
      <w:r>
        <w:t>without requiring any external disturbance.</w:t>
      </w:r>
    </w:p>
    <w:p w14:paraId="09CA7663" w14:textId="77777777" w:rsidR="00A465D6" w:rsidRDefault="00420AE6">
      <w:pPr>
        <w:pStyle w:val="aa"/>
      </w:pPr>
      <w:r>
        <w:rPr>
          <w:b/>
          <w:bCs/>
        </w:rPr>
        <w:t>Corollary 1 (Node Coupling Induces KPI Coupling and Intention Coupling)</w:t>
      </w:r>
      <w:r>
        <w:t>:</w:t>
      </w:r>
      <w:r>
        <w:br/>
        <w:t>In a shared-resource network, the physical coupling of underlying nodes inevitably induces coupling among the performance metrics (KPIs) anchored to them, thereby locking the behavioral intentions (objective functions) of functional departments or local agents into physical coupling. Prior to orthogonal decoupling, any independent local optimization or decentralized multi-agent bargaining inevitably degenerates into mutual deadlock and vector cancellation.</w:t>
      </w:r>
    </w:p>
    <w:p w14:paraId="372C69C4" w14:textId="77777777" w:rsidR="00A465D6" w:rsidRDefault="00420AE6">
      <w:pPr>
        <w:pStyle w:val="aa"/>
      </w:pPr>
      <w:r>
        <w:rPr>
          <w:b/>
          <w:bCs/>
        </w:rPr>
        <w:t>Corollary 2 (Backfire of Same-Dimension Intervention and Compute Scaling)</w:t>
      </w:r>
      <w:r>
        <w:t>:</w:t>
      </w:r>
      <w:r>
        <w:br/>
        <w:t>Under the unrevised rule of static priority-based exclusive locking, administrative compromises and manual priority overrides in S&amp;OP meetings merely permute the sequence of local intentions within the same coupled dimension, inevitably triggering new cascades of cross-mismatch. Furthermore, higher forecast accuracy and greater traditional solver compute merely accelerate the speed at which distant high-priority demands preempt and lock early on-hand stock.</w:t>
      </w:r>
    </w:p>
    <w:p w14:paraId="3DE247B7" w14:textId="77777777" w:rsidR="00A465D6" w:rsidRDefault="00420AE6">
      <w:pPr>
        <w:pStyle w:val="aa"/>
      </w:pPr>
      <w:r>
        <w:rPr>
          <w:b/>
          <w:bCs/>
        </w:rPr>
        <w:t>Corollary 3 (Uniqueness of Orthogonalizing Coupled Intentions)</w:t>
      </w:r>
      <w:r>
        <w:t>:</w:t>
      </w:r>
      <w:r>
        <w:br/>
        <w:t>While preserving economies of scale (without dismantling the shared resource network), the sole mathematical and physical path to eliminate cross-mismatch and cross-functional vector cancellation is to sever the rigid equivalence between “high priority” and “early stock locking,” executing soft allocation concessions that preserve delivery commitments so resources flow along true kitting dates—thereby orthogonalizing deadlocked objectives and intentions.</w:t>
      </w:r>
    </w:p>
    <w:p w14:paraId="2CE60435" w14:textId="77777777" w:rsidR="00A465D6" w:rsidRDefault="00420AE6">
      <w:r>
        <w:pict w14:anchorId="1C50E7A5">
          <v:rect id="_x0000_i1029" style="width:0;height:1.5pt" o:hralign="center" o:hrstd="t" o:hr="t"/>
        </w:pict>
      </w:r>
    </w:p>
    <w:p w14:paraId="0F3C3F19" w14:textId="77777777" w:rsidR="00A465D6" w:rsidRDefault="00420AE6">
      <w:pPr>
        <w:pStyle w:val="3"/>
      </w:pPr>
      <w:bookmarkStart w:id="5" w:name="Xad3c996c1d8ee85c1ee8837832643128f1f8d6e"/>
      <w:bookmarkEnd w:id="4"/>
      <w:r>
        <w:t>4. What This Cross-Deadlock Reveals: Five Layers of Truth Behind the Mismatch</w:t>
      </w:r>
    </w:p>
    <w:p w14:paraId="154D4D65" w14:textId="77777777" w:rsidR="00A465D6" w:rsidRDefault="00420AE6">
      <w:pPr>
        <w:pStyle w:val="FirstParagraph"/>
      </w:pPr>
      <w:r>
        <w:t>Once the cross-deadlock in the table above, the Law of Sequencing Coupling, and its three corollaries are understood, five chronic operational paradoxes that have perplexed manufacturing executives for decades unravel along clear causal lines:</w:t>
      </w:r>
    </w:p>
    <w:p w14:paraId="519ECEB8" w14:textId="77777777" w:rsidR="00A465D6" w:rsidRDefault="00420AE6">
      <w:pPr>
        <w:pStyle w:val="4"/>
      </w:pPr>
      <w:bookmarkStart w:id="6" w:name="X8e9d3878dc51b10162ad8f2f5eb51c327522dcf"/>
      <w:r>
        <w:t>1. Equating “Important” with “Early Execution” Inevitably Locks System Resources</w:t>
      </w:r>
    </w:p>
    <w:p w14:paraId="546D3711" w14:textId="77777777" w:rsidR="00A465D6" w:rsidRDefault="00420AE6">
      <w:pPr>
        <w:pStyle w:val="FirstParagraph"/>
      </w:pPr>
      <w:r>
        <w:t>Why does scheduling deadlock occur even under sterile conditions of 100% forecast accuracy and clean data? Because human intuition and traditional software treat “commercially important (high priority)” as synonymous with “early inventory locking (early execution).” Ignoring the true physical kitting window while focusing solely on static priority guarantees that “what should deliver early is delayed, and what must wait blocks the road.” Furthermore, as Corollary 2 reveals, this law exerts a severe backfire</w:t>
      </w:r>
      <w:r>
        <w:t xml:space="preserve"> effect: under traditional logic, higher forecasting accuracy and greater algorithmic compute merely accelerate the speed with which the system identifies distant high-priority demands and locks down early inventory, compounding system paralysis.</w:t>
      </w:r>
    </w:p>
    <w:p w14:paraId="7CE6794A" w14:textId="77777777" w:rsidR="00A465D6" w:rsidRDefault="00420AE6">
      <w:pPr>
        <w:pStyle w:val="4"/>
      </w:pPr>
      <w:bookmarkStart w:id="7" w:name="Xc4e2e8e224cfb1def8d8b57b3cbe3451faba648"/>
      <w:bookmarkEnd w:id="6"/>
      <w:r>
        <w:t>2. Physical Node Coupling Induces KPI and Intention Coupling; Functional KPIs Are Not Conflicting Stances</w:t>
      </w:r>
    </w:p>
    <w:p w14:paraId="30C7FE3A" w14:textId="77777777" w:rsidR="00A465D6" w:rsidRDefault="00420AE6">
      <w:pPr>
        <w:pStyle w:val="FirstParagraph"/>
      </w:pPr>
      <w:r>
        <w:t xml:space="preserve">In organizational cybernetics, a KPI is the formal quantification of a department’s or an agent’s “behavioral intention (objective function).” Conventional management assumes that ongoing friction among Procurement, Manufacturing, Sales, and Finance stems from departmental silos or narrow mindsets that can be reconciled through S&amp;OP compromises. But tracking the three components </w:t>
      </w:r>
      <w:r>
        <w:lastRenderedPageBreak/>
        <w:t xml:space="preserve">above reveals that the KPIs and intentions of these four departments are physically entangled through the shared BOM network: * </w:t>
      </w:r>
      <w:r>
        <w:rPr>
          <w:b/>
          <w:bCs/>
        </w:rPr>
        <w:t>Procurement</w:t>
      </w:r>
      <w:r>
        <w:t xml:space="preserve">, pursuing its cost-reduction intention (PPV), selects cheap vendor Part </w:t>
      </w:r>
      <m:oMath>
        <m:r>
          <w:rPr>
            <w:rFonts w:ascii="Cambria Math" w:hAnsi="Cambria Math"/>
          </w:rPr>
          <m:t>C</m:t>
        </m:r>
      </m:oMath>
      <w:r>
        <w:t xml:space="preserve"> with a 4-period lead time; </w:t>
      </w:r>
      <w:r>
        <w:t xml:space="preserve">* This late-arriving Part </w:t>
      </w:r>
      <m:oMath>
        <m:r>
          <w:rPr>
            <w:rFonts w:ascii="Cambria Math" w:hAnsi="Cambria Math"/>
          </w:rPr>
          <m:t>C</m:t>
        </m:r>
      </m:oMath>
      <w:r>
        <w:t xml:space="preserve"> causes Demand 2 to lock on-hand Part </w:t>
      </w:r>
      <m:oMath>
        <m:r>
          <w:rPr>
            <w:rFonts w:ascii="Cambria Math" w:hAnsi="Cambria Math"/>
          </w:rPr>
          <m:t>A</m:t>
        </m:r>
      </m:oMath>
      <w:r>
        <w:t xml:space="preserve"> at Period 1, defeating the </w:t>
      </w:r>
      <w:r>
        <w:rPr>
          <w:b/>
          <w:bCs/>
        </w:rPr>
        <w:t>Finance</w:t>
      </w:r>
      <w:r>
        <w:t xml:space="preserve"> and Warehousing intention of accelerating inventory turnover; * Starved of Part </w:t>
      </w:r>
      <m:oMath>
        <m:r>
          <w:rPr>
            <w:rFonts w:ascii="Cambria Math" w:hAnsi="Cambria Math"/>
          </w:rPr>
          <m:t>A</m:t>
        </m:r>
      </m:oMath>
      <w:r>
        <w:t xml:space="preserve">, Demand 1 halts on the shop floor at Period 2, defeating the </w:t>
      </w:r>
      <w:r>
        <w:rPr>
          <w:b/>
          <w:bCs/>
        </w:rPr>
        <w:t>Manufacturing</w:t>
      </w:r>
      <w:r>
        <w:t xml:space="preserve"> intention of maintaining high equipment utilization (OEE); * Starved assembly lines cause Demand 1 to default on delivery, defeating the </w:t>
      </w:r>
      <w:r>
        <w:rPr>
          <w:b/>
          <w:bCs/>
        </w:rPr>
        <w:t>Sales</w:t>
      </w:r>
      <w:r>
        <w:t xml:space="preserve"> intention of on-time delivery (OTD).</w:t>
      </w:r>
    </w:p>
    <w:p w14:paraId="0370B1BE" w14:textId="77777777" w:rsidR="00A465D6" w:rsidRDefault="00420AE6">
      <w:pPr>
        <w:pStyle w:val="a0"/>
      </w:pPr>
      <w:r>
        <w:t xml:space="preserve">Because physical node </w:t>
      </w:r>
      <m:oMath>
        <m:r>
          <w:rPr>
            <w:rFonts w:ascii="Cambria Math" w:hAnsi="Cambria Math"/>
          </w:rPr>
          <m:t>A</m:t>
        </m:r>
      </m:oMath>
      <w:r>
        <w:t xml:space="preserve"> is shared, the KPIs and behavioral intentions of all four departments are physically soldered together. Political or behavioral stances can be negotiated in meetings, but </w:t>
      </w:r>
      <w:r>
        <w:rPr>
          <w:b/>
          <w:bCs/>
        </w:rPr>
        <w:t>physical and intentional couplings can never be resolved through organizational compromise</w:t>
      </w:r>
      <w:r>
        <w:t>.</w:t>
      </w:r>
    </w:p>
    <w:p w14:paraId="155F821E" w14:textId="77777777" w:rsidR="00A465D6" w:rsidRDefault="00420AE6">
      <w:pPr>
        <w:pStyle w:val="4"/>
      </w:pPr>
      <w:bookmarkStart w:id="8" w:name="X7830a5b2f99e7f78bbe10206c11302284864d70"/>
      <w:bookmarkEnd w:id="7"/>
      <w:r>
        <w:t>3. Local Optimization and Manual Intervention Under Coupled Intentions Trigger Domino Collapse and Vector Cancellation</w:t>
      </w:r>
    </w:p>
    <w:p w14:paraId="0C0F864E" w14:textId="77777777" w:rsidR="00A465D6" w:rsidRDefault="00420AE6">
      <w:pPr>
        <w:pStyle w:val="FirstParagraph"/>
      </w:pPr>
      <w:r>
        <w:t>When cross-mismatches occur, early fulfillable orders stall, capacity evaporates, shipments drop, and dormant inventory accumulates. On the factory floor, operators cannot watch on-hand stock sit idle while lines stand down; they inevitably intervene: convening emergency S&amp;OP sessions to override priorities, raiding inventory across orders, and exporting data into offline spreadsheets.</w:t>
      </w:r>
    </w:p>
    <w:p w14:paraId="4AA003CD" w14:textId="77777777" w:rsidR="00A465D6" w:rsidRDefault="00420AE6">
      <w:pPr>
        <w:pStyle w:val="a0"/>
      </w:pPr>
      <w:r>
        <w:t xml:space="preserve">Yet, while our minimal model contains only 3 parts, real products contain thousands of parts across tens of thousands of orders. Cognitive science demonstrates that human working memory is bounded by </w:t>
      </w:r>
      <m:oMath>
        <m:r>
          <w:rPr>
            <w:rFonts w:ascii="Cambria Math" w:hAnsi="Cambria Math"/>
          </w:rPr>
          <m:t>4</m:t>
        </m:r>
        <m:r>
          <m:rPr>
            <m:sty m:val="p"/>
          </m:rPr>
          <w:rPr>
            <w:rFonts w:ascii="Cambria Math" w:hAnsi="Cambria Math"/>
          </w:rPr>
          <m:t>±</m:t>
        </m:r>
        <m:r>
          <w:rPr>
            <w:rFonts w:ascii="Cambria Math" w:hAnsi="Cambria Math"/>
          </w:rPr>
          <m:t>1</m:t>
        </m:r>
      </m:oMath>
      <w:r>
        <w:t xml:space="preserve"> informational chunks. The human brain cannot calculate multi-echelon topological ripple effects; it can only perceive immediate, local pain points. Every manual priority override granted in an S&amp;OP meeting and every offline part reallocation forcibly elevates one local intention over others within the same coupled dimension, re-triggering the Law of Sequencing Coupling—rescuing one visible order instantly breaks the kitting chains of multiple downstream orders, causing plan stability to collapse like fal</w:t>
      </w:r>
      <w:r>
        <w:t>ling dominoes.</w:t>
      </w:r>
    </w:p>
    <w:p w14:paraId="77BEA26A" w14:textId="77777777" w:rsidR="00A465D6" w:rsidRDefault="00420AE6">
      <w:pPr>
        <w:pStyle w:val="a0"/>
      </w:pPr>
      <w:r>
        <w:t>Following Corollary 1, this also establishes a strict physical boundary for organizational design and artificial intelligence: whether an enterprise implements decentralized divisional accounting (e.g., Amoeba management) or deploys autonomous Multi-AI Agents that negotiate and compete using localized reward functions (local intentions) to schedule supply chains, as long as local agents pursue individual objectives over shared physical nodes, they inevitably trigger the Law of Sequencing Coupling, locking t</w:t>
      </w:r>
      <w:r>
        <w:t>he system into an inefficient Nash equilibrium.</w:t>
      </w:r>
    </w:p>
    <w:p w14:paraId="6769BFA1" w14:textId="77777777" w:rsidR="00A465D6" w:rsidRDefault="00420AE6">
      <w:pPr>
        <w:pStyle w:val="a0"/>
      </w:pPr>
      <w:r>
        <w:t>Consider the inevitable outcome: Can capacity utilization improve? Can shipment volume rise? Can delivery commitments remain reliable? Or does the factory descend into perpetual firefighting, inter-departmental recrimination, and endless emergency expediting?</w:t>
      </w:r>
    </w:p>
    <w:p w14:paraId="5EE97EE5" w14:textId="77777777" w:rsidR="00A465D6" w:rsidRDefault="00420AE6">
      <w:pPr>
        <w:pStyle w:val="a0"/>
      </w:pPr>
      <w:r>
        <w:t>This is the manifestation of cross-functional friction: Sales fights for expedited orders; Manufacturing resists changeovers to protect line efficiency; Procurement pays premium airfreight to rescue parts; and Finance slashes inventory across the board. Every department acts with complete economic rationality from its local KPI and intention, yet their forces pull in diametrically opposite directions, canceling each other out:</w:t>
      </w:r>
    </w:p>
    <w:p w14:paraId="3EB5F740" w14:textId="77777777" w:rsidR="00A465D6" w:rsidRDefault="00420AE6">
      <w:pPr>
        <w:pStyle w:val="a0"/>
      </w:pPr>
      <m:oMathPara>
        <m:oMathParaPr>
          <m:jc m:val="center"/>
        </m:oMathParaPr>
        <m:oMath>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sales</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prod</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proc</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fin</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sales</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prod</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proc</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fin</m:t>
              </m:r>
            </m:sub>
          </m:sSub>
          <m:r>
            <m:rPr>
              <m:sty m:val="p"/>
            </m:rPr>
            <w:rPr>
              <w:rFonts w:ascii="Cambria Math" w:hAnsi="Cambria Math"/>
            </w:rPr>
            <m:t>‖</m:t>
          </m:r>
        </m:oMath>
      </m:oMathPara>
    </w:p>
    <w:p w14:paraId="65DB26D8" w14:textId="77777777" w:rsidR="00A465D6" w:rsidRDefault="00420AE6">
      <w:pPr>
        <w:pStyle w:val="FirstParagraph"/>
      </w:pPr>
      <w:r>
        <w:t xml:space="preserve">This is cross-functional </w:t>
      </w:r>
      <w:r>
        <w:rPr>
          <w:b/>
          <w:bCs/>
        </w:rPr>
        <w:t>Vector Cancellation</w:t>
      </w:r>
      <w:r>
        <w:t>. The immense energy exerted by the organization produces near-zero net forward work, dissipating into enterprise-wide frictional waste heat.</w:t>
      </w:r>
    </w:p>
    <w:p w14:paraId="236E0915" w14:textId="77777777" w:rsidR="00A465D6" w:rsidRDefault="00420AE6">
      <w:pPr>
        <w:pStyle w:val="4"/>
      </w:pPr>
      <w:bookmarkStart w:id="9" w:name="Xb944bf3691a7d8fe7022edce3f7bee66efac3c1"/>
      <w:bookmarkEnd w:id="8"/>
      <w:r>
        <w:t>4. Three Tiers of S&amp;OP Lock Up Simultaneously; Operational Slippage Makes the Enterprise “Undriveable”</w:t>
      </w:r>
    </w:p>
    <w:p w14:paraId="4F5F3196" w14:textId="77777777" w:rsidR="00A465D6" w:rsidRDefault="00420AE6">
      <w:pPr>
        <w:pStyle w:val="FirstParagraph"/>
      </w:pPr>
      <w:r>
        <w:t xml:space="preserve">Because the time bucket in our minimal model corresponds interchangeably to days, weeks, or months, cross-mismatch infects all three planning horizons concurrently: monthly strategic S&amp;OP locks up shared supplier capacities and quarterly capital budgets; weekly tactical master planning </w:t>
      </w:r>
      <w:r>
        <w:lastRenderedPageBreak/>
        <w:t>(MPS/ITP) locks up critical components and bottleneck lines; and daily operational scheduling (MRP/IOP) fights over shop-floor kitting inventory.</w:t>
      </w:r>
    </w:p>
    <w:p w14:paraId="11FE21DC" w14:textId="77777777" w:rsidR="00A465D6" w:rsidRDefault="00420AE6">
      <w:pPr>
        <w:pStyle w:val="a0"/>
      </w:pPr>
      <w:r>
        <w:t xml:space="preserve">Cybernetics establishes an unbending rule: </w:t>
      </w:r>
      <w:r>
        <w:rPr>
          <w:i/>
          <w:iCs/>
        </w:rPr>
        <w:t>that which is unobservable is uncontrollable; that which is uncontrollable is unplannable</w:t>
      </w:r>
      <w:r>
        <w:t>. When daily execution slips constantly due to cross-mismatches and relies on offline expediting, the inventory and capacity data rolled up to upper tiers is thoroughly distorted. When the operational foundation is slipping, corporate control tower dashboards display pure fiction, rendering leadership unable to steer the enterprise.</w:t>
      </w:r>
    </w:p>
    <w:p w14:paraId="5D65AAA5" w14:textId="77777777" w:rsidR="00A465D6" w:rsidRDefault="00420AE6">
      <w:pPr>
        <w:pStyle w:val="4"/>
      </w:pPr>
      <w:bookmarkStart w:id="10" w:name="X2e7b8e2e35d4eb83c3bb621b47f52acc7ec779b"/>
      <w:bookmarkEnd w:id="9"/>
      <w:r>
        <w:t>5. Calculating the Hemorrhage Account of a 10-Billion-Scale Enterprise</w:t>
      </w:r>
    </w:p>
    <w:p w14:paraId="20505ED9" w14:textId="77777777" w:rsidR="00A465D6" w:rsidRDefault="00420AE6">
      <w:pPr>
        <w:pStyle w:val="FirstParagraph"/>
      </w:pPr>
      <w:r>
        <w:t xml:space="preserve">The frictional waste heat generated by vector cancellation manifests in corporate financial statements as four concrete hemorrhage accounts: * </w:t>
      </w:r>
      <w:r>
        <w:rPr>
          <w:b/>
          <w:bCs/>
        </w:rPr>
        <w:t>Procurement Account</w:t>
      </w:r>
      <w:r>
        <w:t xml:space="preserve">: premium airfreight costs incurred to rescue shortages, combined with obsolete scrap resulting from excess safety stock buffers; * </w:t>
      </w:r>
      <w:r>
        <w:rPr>
          <w:b/>
          <w:bCs/>
        </w:rPr>
        <w:t>Manufacturing Account</w:t>
      </w:r>
      <w:r>
        <w:t xml:space="preserve">: over 30% of effective machine hours permanently annihilated in the cycle of “shortage shutdowns, emergency line switchovers, and weekend overtime”; * </w:t>
      </w:r>
      <w:r>
        <w:rPr>
          <w:b/>
          <w:bCs/>
        </w:rPr>
        <w:t>Inventory Account</w:t>
      </w:r>
      <w:r>
        <w:t xml:space="preserve">: massive working capital frozen in “ninety-nine waiting for one” semi-finished goods and premature common parts; * </w:t>
      </w:r>
      <w:r>
        <w:rPr>
          <w:b/>
          <w:bCs/>
        </w:rPr>
        <w:t>Sales Account</w:t>
      </w:r>
      <w:r>
        <w:t>: lost customer contracts, missed order wi</w:t>
      </w:r>
      <w:r>
        <w:t>ndows, and contractual penalties stemming from unreliable delivery dates.</w:t>
      </w:r>
    </w:p>
    <w:p w14:paraId="46537BAE" w14:textId="77777777" w:rsidR="00A465D6" w:rsidRDefault="00420AE6">
      <w:pPr>
        <w:pStyle w:val="a0"/>
      </w:pPr>
      <w:r>
        <w:t>For an enterprise with 10 billion in annual revenue, these four leaks drain several hundred million to over a billion in net profit every year. Dissolving the underlying physical coupling recovers this dissipated energy, driving corporate ROIC from 3%–6% back to healthy levels above 15%.</w:t>
      </w:r>
    </w:p>
    <w:p w14:paraId="0BBC9BAE" w14:textId="77777777" w:rsidR="00A465D6" w:rsidRDefault="00420AE6">
      <w:r>
        <w:pict w14:anchorId="66D353C6">
          <v:rect id="_x0000_i1030" style="width:0;height:1.5pt" o:hralign="center" o:hrstd="t" o:hr="t"/>
        </w:pict>
      </w:r>
    </w:p>
    <w:p w14:paraId="5DAD110A" w14:textId="77777777" w:rsidR="00A465D6" w:rsidRDefault="00420AE6">
      <w:pPr>
        <w:pStyle w:val="3"/>
      </w:pPr>
      <w:bookmarkStart w:id="11" w:name="X15f4b5f0a119d54edc9bf20e30e459354a24891"/>
      <w:bookmarkEnd w:id="10"/>
      <w:bookmarkEnd w:id="5"/>
      <w:r>
        <w:t>5. How to Resolve It: Orthogonalizing Coupled Goals and Intentions to Close the Plan-Execution Loop</w:t>
      </w:r>
    </w:p>
    <w:p w14:paraId="53739AA0" w14:textId="77777777" w:rsidR="00A465D6" w:rsidRDefault="00420AE6">
      <w:pPr>
        <w:pStyle w:val="FirstParagraph"/>
      </w:pPr>
      <w:r>
        <w:t>Since enterprises cannot abandon economies of scale, how can the deadlock of sequencing coupling and intention coupling be resolved without dismantling the shared resource network?</w:t>
      </w:r>
    </w:p>
    <w:p w14:paraId="14FFDED8" w14:textId="77777777" w:rsidR="00A465D6" w:rsidRDefault="00420AE6">
      <w:pPr>
        <w:pStyle w:val="a0"/>
      </w:pPr>
      <w:r>
        <w:t xml:space="preserve">As stated in Corollary 3, the core principle can be summarized in a single sentence: </w:t>
      </w:r>
      <w:r>
        <w:rPr>
          <w:b/>
          <w:bCs/>
        </w:rPr>
        <w:t>without compromising delivery commitments, use spatiotemporal concessions to maximize the utilization of materials and global resources—an action that mathematically and physically orthogonalizes previously deadlocked, coupled objectives and intentions</w:t>
      </w:r>
      <w:r>
        <w:t>.</w:t>
      </w:r>
    </w:p>
    <w:p w14:paraId="3714BB78" w14:textId="77777777" w:rsidR="00A465D6" w:rsidRDefault="00420AE6">
      <w:pPr>
        <w:pStyle w:val="a0"/>
      </w:pPr>
      <w:r>
        <w:t xml:space="preserve">Consider the intuitive micro-mechanism: execute a </w:t>
      </w:r>
      <w:r>
        <w:rPr>
          <w:b/>
          <w:bCs/>
        </w:rPr>
        <w:t>“soft allocation concession”</w:t>
      </w:r>
      <w:r>
        <w:t xml:space="preserve"> that reallocates early stock to lower-priority demands that are physically capable of kitting and closing earlier.</w:t>
      </w:r>
    </w:p>
    <w:p w14:paraId="3168AA82" w14:textId="77777777" w:rsidR="00A465D6" w:rsidRDefault="00420AE6">
      <w:pPr>
        <w:pStyle w:val="a0"/>
      </w:pPr>
      <w:r>
        <w:t xml:space="preserve">Returning to our minimal example: Demand 2 cannot assemble until Period 4 due to gating Part </w:t>
      </w:r>
      <m:oMath>
        <m:r>
          <w:rPr>
            <w:rFonts w:ascii="Cambria Math" w:hAnsi="Cambria Math"/>
          </w:rPr>
          <m:t>C</m:t>
        </m:r>
      </m:oMath>
      <w:r>
        <w:t xml:space="preserve">; in-transit Part </w:t>
      </w:r>
      <m:oMath>
        <m:r>
          <w:rPr>
            <w:rFonts w:ascii="Cambria Math" w:hAnsi="Cambria Math"/>
          </w:rPr>
          <m:t>A</m:t>
        </m:r>
      </m:oMath>
      <w:r>
        <w:t xml:space="preserve"> arriving at Period 3 is fully capable of satisfying Demand 2’s assembly at Period 4. Therefore, with a 100% guarantee that Demand 2’s Period 4 commitment remains completely unharmed, the system unhooks Demand 2’s rigid lock on Period 1 Stock </w:t>
      </w:r>
      <m:oMath>
        <m:r>
          <w:rPr>
            <w:rFonts w:ascii="Cambria Math" w:hAnsi="Cambria Math"/>
          </w:rPr>
          <m:t>A</m:t>
        </m:r>
      </m:oMath>
      <w:r>
        <w:t xml:space="preserve">, re-linking Demand 2 to in-transit Part </w:t>
      </w:r>
      <m:oMath>
        <m:r>
          <w:rPr>
            <w:rFonts w:ascii="Cambria Math" w:hAnsi="Cambria Math"/>
          </w:rPr>
          <m:t>A</m:t>
        </m:r>
      </m:oMath>
      <w:r>
        <w:t xml:space="preserve"> arriving at Period 3. Period 1 Stock </w:t>
      </w:r>
      <m:oMath>
        <m:r>
          <w:rPr>
            <w:rFonts w:ascii="Cambria Math" w:hAnsi="Cambria Math"/>
          </w:rPr>
          <m:t>A</m:t>
        </m:r>
      </m:oMath>
      <w:r>
        <w:t xml:space="preserve"> is conceded to Demand 1, allowing Demand 1 to kit and ship immediately in Period 1:</w:t>
      </w:r>
    </w:p>
    <w:tbl>
      <w:tblPr>
        <w:tblStyle w:val="Table"/>
        <w:tblW w:w="5000" w:type="pct"/>
        <w:tblLayout w:type="fixed"/>
        <w:tblLook w:val="0020" w:firstRow="1" w:lastRow="0" w:firstColumn="0" w:lastColumn="0" w:noHBand="0" w:noVBand="0"/>
      </w:tblPr>
      <w:tblGrid>
        <w:gridCol w:w="2310"/>
        <w:gridCol w:w="2311"/>
        <w:gridCol w:w="2311"/>
        <w:gridCol w:w="2311"/>
      </w:tblGrid>
      <w:tr w:rsidR="00A465D6" w14:paraId="63D6E623" w14:textId="77777777" w:rsidTr="00A465D6">
        <w:trPr>
          <w:cnfStyle w:val="100000000000" w:firstRow="1" w:lastRow="0" w:firstColumn="0" w:lastColumn="0" w:oddVBand="0" w:evenVBand="0" w:oddHBand="0" w:evenHBand="0" w:firstRowFirstColumn="0" w:firstRowLastColumn="0" w:lastRowFirstColumn="0" w:lastRowLastColumn="0"/>
          <w:tblHeader/>
        </w:trPr>
        <w:tc>
          <w:tcPr>
            <w:tcW w:w="1980" w:type="dxa"/>
          </w:tcPr>
          <w:p w14:paraId="176214BF" w14:textId="77777777" w:rsidR="00A465D6" w:rsidRDefault="00420AE6">
            <w:pPr>
              <w:pStyle w:val="Compact"/>
            </w:pPr>
            <w:r>
              <w:t>Period</w:t>
            </w:r>
          </w:p>
        </w:tc>
        <w:tc>
          <w:tcPr>
            <w:tcW w:w="1980" w:type="dxa"/>
          </w:tcPr>
          <w:p w14:paraId="28C29CDC" w14:textId="77777777" w:rsidR="00A465D6" w:rsidRDefault="00420AE6">
            <w:pPr>
              <w:pStyle w:val="Compact"/>
            </w:pPr>
            <w:r>
              <w:t>Demand 1 (Low Priority, Due t=2, BOM: A+B)</w:t>
            </w:r>
          </w:p>
        </w:tc>
        <w:tc>
          <w:tcPr>
            <w:tcW w:w="1980" w:type="dxa"/>
          </w:tcPr>
          <w:p w14:paraId="4D08639C" w14:textId="77777777" w:rsidR="00A465D6" w:rsidRDefault="00420AE6">
            <w:pPr>
              <w:pStyle w:val="Compact"/>
            </w:pPr>
            <w:r>
              <w:t>Demand 2 (High Priority, Due t=3, BOM: A+C)</w:t>
            </w:r>
          </w:p>
        </w:tc>
        <w:tc>
          <w:tcPr>
            <w:tcW w:w="1980" w:type="dxa"/>
          </w:tcPr>
          <w:p w14:paraId="55E240A5" w14:textId="77777777" w:rsidR="00A465D6" w:rsidRDefault="00420AE6">
            <w:pPr>
              <w:pStyle w:val="Compact"/>
            </w:pPr>
            <w:r>
              <w:t>System State Under Orthogonal Governance</w:t>
            </w:r>
          </w:p>
        </w:tc>
      </w:tr>
      <w:tr w:rsidR="00A465D6" w14:paraId="1292ED3E" w14:textId="77777777">
        <w:tc>
          <w:tcPr>
            <w:tcW w:w="1980" w:type="dxa"/>
          </w:tcPr>
          <w:p w14:paraId="4647B1A5" w14:textId="77777777" w:rsidR="00A465D6" w:rsidRDefault="00420AE6">
            <w:pPr>
              <w:pStyle w:val="Compact"/>
            </w:pPr>
            <w:r>
              <w:rPr>
                <w:b/>
                <w:bCs/>
              </w:rPr>
              <w:t>Period 1</w:t>
            </w:r>
          </w:p>
        </w:tc>
        <w:tc>
          <w:tcPr>
            <w:tcW w:w="1980" w:type="dxa"/>
          </w:tcPr>
          <w:p w14:paraId="4776D41E" w14:textId="77777777" w:rsidR="00A465D6" w:rsidRDefault="00420AE6">
            <w:pPr>
              <w:pStyle w:val="Compact"/>
            </w:pPr>
            <w:r>
              <w:t xml:space="preserve">Takes conceded Stock </w:t>
            </w:r>
            <m:oMath>
              <m:r>
                <w:rPr>
                  <w:rFonts w:ascii="Cambria Math" w:hAnsi="Cambria Math"/>
                </w:rPr>
                <m:t>A</m:t>
              </m:r>
            </m:oMath>
            <w:r>
              <w:t xml:space="preserve">, kits immediately with </w:t>
            </w:r>
            <m:oMath>
              <m:r>
                <w:rPr>
                  <w:rFonts w:ascii="Cambria Math" w:hAnsi="Cambria Math"/>
                </w:rPr>
                <m:t>B</m:t>
              </m:r>
            </m:oMath>
          </w:p>
        </w:tc>
        <w:tc>
          <w:tcPr>
            <w:tcW w:w="1980" w:type="dxa"/>
          </w:tcPr>
          <w:p w14:paraId="34B4602F" w14:textId="77777777" w:rsidR="00A465D6" w:rsidRDefault="00420AE6">
            <w:pPr>
              <w:pStyle w:val="Compact"/>
            </w:pPr>
            <w:r>
              <w:t xml:space="preserve">Soft-allocated to Receipt </w:t>
            </w:r>
            <m:oMath>
              <m:r>
                <w:rPr>
                  <w:rFonts w:ascii="Cambria Math" w:hAnsi="Cambria Math"/>
                </w:rPr>
                <m:t>A</m:t>
              </m:r>
            </m:oMath>
            <w:r>
              <w:t xml:space="preserve"> (Stock </w:t>
            </w:r>
            <m:oMath>
              <m:r>
                <w:rPr>
                  <w:rFonts w:ascii="Cambria Math" w:hAnsi="Cambria Math"/>
                </w:rPr>
                <m:t>A</m:t>
              </m:r>
            </m:oMath>
            <w:r>
              <w:t xml:space="preserve"> released)</w:t>
            </w:r>
          </w:p>
        </w:tc>
        <w:tc>
          <w:tcPr>
            <w:tcW w:w="1980" w:type="dxa"/>
          </w:tcPr>
          <w:p w14:paraId="06DACA63" w14:textId="77777777" w:rsidR="00A465D6" w:rsidRDefault="00420AE6">
            <w:pPr>
              <w:pStyle w:val="Compact"/>
            </w:pPr>
            <w:r>
              <w:t xml:space="preserve">Stock </w:t>
            </w:r>
            <m:oMath>
              <m:r>
                <w:rPr>
                  <w:rFonts w:ascii="Cambria Math" w:hAnsi="Cambria Math"/>
                </w:rPr>
                <m:t>A</m:t>
              </m:r>
            </m:oMath>
            <w:r>
              <w:t xml:space="preserve"> immediately enters production; zero dormancy</w:t>
            </w:r>
          </w:p>
        </w:tc>
      </w:tr>
      <w:tr w:rsidR="00A465D6" w14:paraId="75AB2E5F" w14:textId="77777777">
        <w:tc>
          <w:tcPr>
            <w:tcW w:w="1980" w:type="dxa"/>
          </w:tcPr>
          <w:p w14:paraId="29A41C9F" w14:textId="77777777" w:rsidR="00A465D6" w:rsidRDefault="00420AE6">
            <w:pPr>
              <w:pStyle w:val="Compact"/>
            </w:pPr>
            <w:r>
              <w:rPr>
                <w:b/>
                <w:bCs/>
              </w:rPr>
              <w:t>Period 2</w:t>
            </w:r>
          </w:p>
        </w:tc>
        <w:tc>
          <w:tcPr>
            <w:tcW w:w="1980" w:type="dxa"/>
          </w:tcPr>
          <w:p w14:paraId="17EAC2FA" w14:textId="77777777" w:rsidR="00A465D6" w:rsidRDefault="00420AE6">
            <w:pPr>
              <w:pStyle w:val="Compact"/>
            </w:pPr>
            <w:r>
              <w:t>Finished and delivered on time (Zero delay)</w:t>
            </w:r>
          </w:p>
        </w:tc>
        <w:tc>
          <w:tcPr>
            <w:tcW w:w="1980" w:type="dxa"/>
          </w:tcPr>
          <w:p w14:paraId="2446A1AD" w14:textId="77777777" w:rsidR="00A465D6" w:rsidRDefault="00420AE6">
            <w:pPr>
              <w:pStyle w:val="Compact"/>
            </w:pPr>
            <w:r>
              <w:t xml:space="preserve">Waiting for Receipt </w:t>
            </w:r>
            <m:oMath>
              <m:r>
                <w:rPr>
                  <w:rFonts w:ascii="Cambria Math" w:hAnsi="Cambria Math"/>
                </w:rPr>
                <m:t>A</m:t>
              </m:r>
            </m:oMath>
            <w:r>
              <w:t xml:space="preserve"> (t=3) and gating Part </w:t>
            </w:r>
            <m:oMath>
              <m:r>
                <w:rPr>
                  <w:rFonts w:ascii="Cambria Math" w:hAnsi="Cambria Math"/>
                </w:rPr>
                <m:t>C</m:t>
              </m:r>
            </m:oMath>
            <w:r>
              <w:t xml:space="preserve"> (t=4)</w:t>
            </w:r>
          </w:p>
        </w:tc>
        <w:tc>
          <w:tcPr>
            <w:tcW w:w="1980" w:type="dxa"/>
          </w:tcPr>
          <w:p w14:paraId="44B52DCF" w14:textId="77777777" w:rsidR="00A465D6" w:rsidRDefault="00420AE6">
            <w:pPr>
              <w:pStyle w:val="Compact"/>
            </w:pPr>
            <w:r>
              <w:t>Line runs at full capacity; Demand 1 closed</w:t>
            </w:r>
          </w:p>
        </w:tc>
      </w:tr>
      <w:tr w:rsidR="00A465D6" w14:paraId="3296C789" w14:textId="77777777">
        <w:tc>
          <w:tcPr>
            <w:tcW w:w="1980" w:type="dxa"/>
          </w:tcPr>
          <w:p w14:paraId="431ED9FD" w14:textId="77777777" w:rsidR="00A465D6" w:rsidRDefault="00420AE6">
            <w:pPr>
              <w:pStyle w:val="Compact"/>
            </w:pPr>
            <w:r>
              <w:rPr>
                <w:b/>
                <w:bCs/>
              </w:rPr>
              <w:lastRenderedPageBreak/>
              <w:t>Period 3</w:t>
            </w:r>
          </w:p>
        </w:tc>
        <w:tc>
          <w:tcPr>
            <w:tcW w:w="1980" w:type="dxa"/>
          </w:tcPr>
          <w:p w14:paraId="119D92E8" w14:textId="77777777" w:rsidR="00A465D6" w:rsidRDefault="00420AE6">
            <w:pPr>
              <w:pStyle w:val="Compact"/>
            </w:pPr>
            <w:r>
              <w:t>Closed and delivered</w:t>
            </w:r>
          </w:p>
        </w:tc>
        <w:tc>
          <w:tcPr>
            <w:tcW w:w="1980" w:type="dxa"/>
          </w:tcPr>
          <w:p w14:paraId="65199982" w14:textId="77777777" w:rsidR="00A465D6" w:rsidRDefault="00420AE6">
            <w:pPr>
              <w:pStyle w:val="Compact"/>
            </w:pPr>
            <w:r>
              <w:t xml:space="preserve">Receives Scheduled Receipt </w:t>
            </w:r>
            <m:oMath>
              <m:r>
                <w:rPr>
                  <w:rFonts w:ascii="Cambria Math" w:hAnsi="Cambria Math"/>
                </w:rPr>
                <m:t>A</m:t>
              </m:r>
            </m:oMath>
            <w:r>
              <w:t xml:space="preserve"> arriving on time</w:t>
            </w:r>
          </w:p>
        </w:tc>
        <w:tc>
          <w:tcPr>
            <w:tcW w:w="1980" w:type="dxa"/>
          </w:tcPr>
          <w:p w14:paraId="2222F827" w14:textId="77777777" w:rsidR="00A465D6" w:rsidRDefault="00420AE6">
            <w:pPr>
              <w:pStyle w:val="Compact"/>
            </w:pPr>
            <w:r>
              <w:t xml:space="preserve">In-transit Receipt </w:t>
            </w:r>
            <m:oMath>
              <m:r>
                <w:rPr>
                  <w:rFonts w:ascii="Cambria Math" w:hAnsi="Cambria Math"/>
                </w:rPr>
                <m:t>A</m:t>
              </m:r>
            </m:oMath>
            <w:r>
              <w:t xml:space="preserve"> arrives exactly as planned</w:t>
            </w:r>
          </w:p>
        </w:tc>
      </w:tr>
      <w:tr w:rsidR="00A465D6" w14:paraId="697EB0D0" w14:textId="77777777">
        <w:tc>
          <w:tcPr>
            <w:tcW w:w="1980" w:type="dxa"/>
          </w:tcPr>
          <w:p w14:paraId="5D71A4AA" w14:textId="77777777" w:rsidR="00A465D6" w:rsidRDefault="00420AE6">
            <w:pPr>
              <w:pStyle w:val="Compact"/>
            </w:pPr>
            <w:r>
              <w:rPr>
                <w:b/>
                <w:bCs/>
              </w:rPr>
              <w:t>Period 4</w:t>
            </w:r>
          </w:p>
        </w:tc>
        <w:tc>
          <w:tcPr>
            <w:tcW w:w="1980" w:type="dxa"/>
          </w:tcPr>
          <w:p w14:paraId="6BC6FC0D" w14:textId="77777777" w:rsidR="00A465D6" w:rsidRDefault="00420AE6">
            <w:pPr>
              <w:pStyle w:val="Compact"/>
            </w:pPr>
            <w:r>
              <w:t>Closed and delivered</w:t>
            </w:r>
          </w:p>
        </w:tc>
        <w:tc>
          <w:tcPr>
            <w:tcW w:w="1980" w:type="dxa"/>
          </w:tcPr>
          <w:p w14:paraId="4BC066F3" w14:textId="77777777" w:rsidR="00A465D6" w:rsidRDefault="00420AE6">
            <w:pPr>
              <w:pStyle w:val="Compact"/>
            </w:pPr>
            <w:r>
              <w:t xml:space="preserve">Gating Part </w:t>
            </w:r>
            <m:oMath>
              <m:r>
                <w:rPr>
                  <w:rFonts w:ascii="Cambria Math" w:hAnsi="Cambria Math"/>
                </w:rPr>
                <m:t>C</m:t>
              </m:r>
            </m:oMath>
            <w:r>
              <w:t xml:space="preserve"> arrives; kits with </w:t>
            </w:r>
            <m:oMath>
              <m:r>
                <w:rPr>
                  <w:rFonts w:ascii="Cambria Math" w:hAnsi="Cambria Math"/>
                </w:rPr>
                <m:t>A</m:t>
              </m:r>
            </m:oMath>
            <w:r>
              <w:t xml:space="preserve"> and delivers</w:t>
            </w:r>
          </w:p>
        </w:tc>
        <w:tc>
          <w:tcPr>
            <w:tcW w:w="1980" w:type="dxa"/>
          </w:tcPr>
          <w:p w14:paraId="2F3A453B" w14:textId="77777777" w:rsidR="00A465D6" w:rsidRDefault="00420AE6">
            <w:pPr>
              <w:pStyle w:val="Compact"/>
            </w:pPr>
            <w:r>
              <w:t>Demand 2 delivered on time; cross-mismatch dissolved</w:t>
            </w:r>
          </w:p>
        </w:tc>
      </w:tr>
    </w:tbl>
    <w:p w14:paraId="3C52073C" w14:textId="77777777" w:rsidR="00A465D6" w:rsidRDefault="00420AE6">
      <w:pPr>
        <w:pStyle w:val="a0"/>
      </w:pPr>
      <w:r>
        <w:t>Notice the outcome: without purchasing an extra screw or spending an extra cent on freight, a single spatiotemporal concession enables Demand 1 to deliver on time at Period 2 and Demand 2 to fulfill its commitment at Period 4. Assembly lines never stand idle, inventory never sits dormant, and the spatiotemporal cross-mismatch in the table vanishes entirely.</w:t>
      </w:r>
    </w:p>
    <w:p w14:paraId="31EC6350" w14:textId="77777777" w:rsidR="00A465D6" w:rsidRDefault="00420AE6">
      <w:pPr>
        <w:pStyle w:val="a0"/>
      </w:pPr>
      <w:r>
        <w:t>Now consider scaling this principle to enterprise-wide industrial networks. Reallocating two orders is straightforward, but when facing tens of thousands of demand orders, millions of material nodes, and multi-echelon BOMs, conducting pairwise combinatorial enumeration across the entire network with traditional operations research solvers triggers a factorial explosion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in search space, resulting in prohibitive runtimes that render exact computation impossible. Therefore, in an industrial-grade architecture, we leverage in-memory computing to achieve dual-stage orthogonal decoupling in two steps, based on the differing physical properties of resources:</w:t>
      </w:r>
    </w:p>
    <w:p w14:paraId="54AAB7B9" w14:textId="77777777" w:rsidR="00A465D6" w:rsidRDefault="00420AE6">
      <w:pPr>
        <w:pStyle w:val="Compact"/>
        <w:numPr>
          <w:ilvl w:val="0"/>
          <w:numId w:val="3"/>
        </w:numPr>
      </w:pPr>
      <w:r>
        <w:rPr>
          <w:b/>
          <w:bCs/>
        </w:rPr>
        <w:t xml:space="preserve">Step 1: Additive Material Flows Pulled Linearly by True Kitting Dates (Complexity Collapses from Factorial to Linear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b/>
          <w:bCs/>
        </w:rPr>
        <w:t>)</w:t>
      </w:r>
      <w:r>
        <w:br/>
        <w:t xml:space="preserve">Raw materials and components are extensive quantities that satisfy algebraic additive conservation. Abolishing the legacy rule of greedily seizing on-hand stock based on static priorities, the system penetrates multi-echelon BOMs in memory to calculate each order’s true physical commitment date </w:t>
      </w:r>
      <m:oMath>
        <m:sSub>
          <m:sSubPr>
            <m:ctrlPr>
              <w:rPr>
                <w:rFonts w:ascii="Cambria Math" w:hAnsi="Cambria Math"/>
              </w:rPr>
            </m:ctrlPr>
          </m:sSubPr>
          <m:e>
            <m:r>
              <w:rPr>
                <w:rFonts w:ascii="Cambria Math" w:hAnsi="Cambria Math"/>
              </w:rPr>
              <m:t>T</m:t>
            </m:r>
          </m:e>
          <m:sub>
            <m:r>
              <m:rPr>
                <m:nor/>
              </m:rPr>
              <m:t>commit</m:t>
            </m:r>
          </m:sub>
        </m:sSub>
      </m:oMath>
      <w:r>
        <w:t xml:space="preserve"> via Equation (1). Material supply is pulled smoothly along the timeline of true kitting dates. Early on-hand inventory naturally flows to orders capable of kitting and starting earlier. Without any pairwise enumeration, computational complexity drops from factorial to linear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eliminating over 95% of cross-mismatches across the network in a single stroke.</w:t>
      </w:r>
    </w:p>
    <w:p w14:paraId="34570EDF" w14:textId="77777777" w:rsidR="00A465D6" w:rsidRDefault="00420AE6">
      <w:pPr>
        <w:pStyle w:val="Compact"/>
        <w:numPr>
          <w:ilvl w:val="0"/>
          <w:numId w:val="3"/>
        </w:numPr>
      </w:pPr>
      <w:r>
        <w:rPr>
          <w:b/>
          <w:bCs/>
        </w:rPr>
        <w:t xml:space="preserve">Step 2: Non-Additive Machine Capacity Permuted Locally within Minimal Residual Windows (Complexity Bounded by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b/>
          <w:bCs/>
        </w:rPr>
        <w:t>)</w:t>
      </w:r>
      <w:r>
        <w:br/>
        <w:t>Shop-floor machine stations are intensive quantities with strict temporal exclusivity that cannot accumulate across time buckets. Once Step 1 has harmonized material flows, the vast majority of network-wide conflicts are eliminated; remaining contention is tightly confined to a handful of local orders competing for the same bottleneck machine during identical time slots. Sequence fine-tuning within this minimal residual window converges rapidly, ensuring that the dispatched schedule is 100% physi</w:t>
      </w:r>
      <w:r>
        <w:t>cally executable on the factory floor.</w:t>
      </w:r>
    </w:p>
    <w:p w14:paraId="0AE2529D" w14:textId="77777777" w:rsidR="00A465D6" w:rsidRDefault="00420AE6">
      <w:pPr>
        <w:pStyle w:val="FirstParagraph"/>
      </w:pPr>
      <w:r>
        <w:t>This orthogonal governance mechanism is not a theoretical conjecture. It was designed, deployed, and rigorously proven in the global manufacturing complex of Lenovo Group, under the Integrated Planning Solution (IPS) architected by the author.</w:t>
      </w:r>
    </w:p>
    <w:p w14:paraId="2787FD18" w14:textId="77777777" w:rsidR="00A465D6" w:rsidRDefault="00420AE6">
      <w:pPr>
        <w:pStyle w:val="a0"/>
      </w:pPr>
      <w:r>
        <w:t>By recognizing the deep physical coupling among underlying nodes, internal KPIs, and departmental intentions, and deploying dual-stage orthogonal governance to eradicate cross-mismatches and vector cancellation, Lenovo’s IPS system seamlessly connected daily shop-floor execution (IOP), weekly tactical planning (ITP), and monthly strategic S&amp;OP into a high-frequency, closed-loop governing architecture. Managing tens of manufacturing facilities, tens of thousands of shared components, and millions of spatiote</w:t>
      </w:r>
      <w:r>
        <w:t xml:space="preserve">mporal nodes worldwide, the system has operated with robust stability for </w:t>
      </w:r>
      <w:r>
        <w:rPr>
          <w:b/>
          <w:bCs/>
        </w:rPr>
        <w:t>18 consecutive years (2008–2026)</w:t>
      </w:r>
      <w:r>
        <w:t xml:space="preserve">, consistently achieving over 95% “human-out-of-the-loop” autonomous closed-loop execution. With internal frictional waste heat eradicated, operational responsiveness and efficiency—traditionally considered mutually exclusive—surged in tandem: order </w:t>
      </w:r>
      <w:r>
        <w:lastRenderedPageBreak/>
        <w:t xml:space="preserve">commitment lead-time response improved from 54% to 98%; on-time delivery rose by 32%; and overall inventory turnover increased 1.9-fold, unlocking billions </w:t>
      </w:r>
      <w:r>
        <w:t>of RMB in corporate liquidity and providing definitive industrial proof of the Law of Sequencing Coupling and orthogonal governance.</w:t>
      </w:r>
    </w:p>
    <w:p w14:paraId="27055411" w14:textId="77777777" w:rsidR="00A465D6" w:rsidRDefault="00420AE6">
      <w:r>
        <w:pict w14:anchorId="5441B190">
          <v:rect id="_x0000_i1031" style="width:0;height:1.5pt" o:hralign="center" o:hrstd="t" o:hr="t"/>
        </w:pict>
      </w:r>
    </w:p>
    <w:p w14:paraId="1276DB8F" w14:textId="77777777" w:rsidR="00A465D6" w:rsidRDefault="00420AE6">
      <w:pPr>
        <w:pStyle w:val="3"/>
      </w:pPr>
      <w:bookmarkStart w:id="12" w:name="references"/>
      <w:bookmarkEnd w:id="11"/>
      <w:r>
        <w:t>References</w:t>
      </w:r>
    </w:p>
    <w:p w14:paraId="74D1A615" w14:textId="77777777" w:rsidR="00A465D6" w:rsidRDefault="00420AE6">
      <w:pPr>
        <w:pStyle w:val="Compact"/>
        <w:numPr>
          <w:ilvl w:val="0"/>
          <w:numId w:val="4"/>
        </w:numPr>
      </w:pPr>
      <w:r>
        <w:t xml:space="preserve">Little, J. D. C. (1961). A proof for the queuing formula: </w:t>
      </w:r>
      <m:oMath>
        <m:r>
          <w:rPr>
            <w:rFonts w:ascii="Cambria Math" w:hAnsi="Cambria Math"/>
          </w:rPr>
          <m:t>L</m:t>
        </m:r>
        <m:r>
          <m:rPr>
            <m:sty m:val="p"/>
          </m:rPr>
          <w:rPr>
            <w:rFonts w:ascii="Cambria Math" w:hAnsi="Cambria Math"/>
          </w:rPr>
          <m:t>=</m:t>
        </m:r>
        <m:r>
          <w:rPr>
            <w:rFonts w:ascii="Cambria Math" w:hAnsi="Cambria Math"/>
          </w:rPr>
          <m:t>λW</m:t>
        </m:r>
      </m:oMath>
      <w:r>
        <w:t xml:space="preserve">. </w:t>
      </w:r>
      <w:r>
        <w:rPr>
          <w:i/>
          <w:iCs/>
        </w:rPr>
        <w:t>Operations Research</w:t>
      </w:r>
      <w:r>
        <w:t>, 9(3), 383-387.</w:t>
      </w:r>
    </w:p>
    <w:p w14:paraId="29DD691E" w14:textId="77777777" w:rsidR="00A465D6" w:rsidRDefault="00420AE6">
      <w:pPr>
        <w:pStyle w:val="Compact"/>
        <w:numPr>
          <w:ilvl w:val="0"/>
          <w:numId w:val="4"/>
        </w:numPr>
      </w:pPr>
      <w:r>
        <w:t xml:space="preserve">Orlicky, J. (1975). </w:t>
      </w:r>
      <w:r>
        <w:rPr>
          <w:i/>
          <w:iCs/>
        </w:rPr>
        <w:t>Material Requirements Planning: The New Way of Life in Production and Inventory Management</w:t>
      </w:r>
      <w:r>
        <w:t>. New York: McGraw-Hill.</w:t>
      </w:r>
    </w:p>
    <w:p w14:paraId="2E16768C" w14:textId="77777777" w:rsidR="00A465D6" w:rsidRDefault="00420AE6">
      <w:pPr>
        <w:pStyle w:val="Compact"/>
        <w:numPr>
          <w:ilvl w:val="0"/>
          <w:numId w:val="4"/>
        </w:numPr>
      </w:pPr>
      <w:r>
        <w:t xml:space="preserve">Ackoff, R. L. (1979). The future of operational research is past. </w:t>
      </w:r>
      <w:r>
        <w:rPr>
          <w:i/>
          <w:iCs/>
        </w:rPr>
        <w:t>Journal of the Operational Research Society</w:t>
      </w:r>
      <w:r>
        <w:t>, 30(2), 93-104.</w:t>
      </w:r>
    </w:p>
    <w:p w14:paraId="2ECE99C0" w14:textId="77777777" w:rsidR="00A465D6" w:rsidRDefault="00420AE6">
      <w:pPr>
        <w:pStyle w:val="Compact"/>
        <w:numPr>
          <w:ilvl w:val="0"/>
          <w:numId w:val="4"/>
        </w:numPr>
      </w:pPr>
      <w:r>
        <w:t xml:space="preserve">Goldratt, E. M., &amp; Cox, J. (1984). </w:t>
      </w:r>
      <w:r>
        <w:rPr>
          <w:i/>
          <w:iCs/>
        </w:rPr>
        <w:t>The Goal: A Process of Ongoing Improvement</w:t>
      </w:r>
      <w:r>
        <w:t>. Croton-on-Hudson, NY: North River Press.</w:t>
      </w:r>
    </w:p>
    <w:p w14:paraId="46ED19C4" w14:textId="77777777" w:rsidR="00A465D6" w:rsidRDefault="00420AE6">
      <w:pPr>
        <w:pStyle w:val="Compact"/>
        <w:numPr>
          <w:ilvl w:val="0"/>
          <w:numId w:val="4"/>
        </w:numPr>
      </w:pPr>
      <w:r>
        <w:t xml:space="preserve">Goodhart, C. A. (1984). </w:t>
      </w:r>
      <w:r>
        <w:rPr>
          <w:i/>
          <w:iCs/>
        </w:rPr>
        <w:t>Monetary Theory and Practice: The UK Experience</w:t>
      </w:r>
      <w:r>
        <w:t>. London: Macmillan.</w:t>
      </w:r>
    </w:p>
    <w:p w14:paraId="110244D4" w14:textId="77777777" w:rsidR="00A465D6" w:rsidRDefault="00420AE6">
      <w:pPr>
        <w:pStyle w:val="Compact"/>
        <w:numPr>
          <w:ilvl w:val="0"/>
          <w:numId w:val="4"/>
        </w:numPr>
      </w:pPr>
      <w:r>
        <w:t xml:space="preserve">Vollmann, T. E., Berry, W. L., &amp; Whybark, D. C. (1984). </w:t>
      </w:r>
      <w:r>
        <w:rPr>
          <w:i/>
          <w:iCs/>
        </w:rPr>
        <w:t>Manufacturing Planning and Control Systems</w:t>
      </w:r>
      <w:r>
        <w:t>. Homewood, IL: Richard D. Irwin.</w:t>
      </w:r>
    </w:p>
    <w:p w14:paraId="1F173D94" w14:textId="77777777" w:rsidR="00A465D6" w:rsidRDefault="00420AE6">
      <w:pPr>
        <w:pStyle w:val="Compact"/>
        <w:numPr>
          <w:ilvl w:val="0"/>
          <w:numId w:val="4"/>
        </w:numPr>
      </w:pPr>
      <w:r>
        <w:t xml:space="preserve">Ling, R. C., &amp; Goddard, W. E. (1988). </w:t>
      </w:r>
      <w:r>
        <w:rPr>
          <w:i/>
          <w:iCs/>
        </w:rPr>
        <w:t>Orchestrating Success: Improve Control of the Business with Sales &amp; Operations Planning</w:t>
      </w:r>
      <w:r>
        <w:t>. Oliver Wight Publications.</w:t>
      </w:r>
    </w:p>
    <w:p w14:paraId="59A211F5" w14:textId="77777777" w:rsidR="00A465D6" w:rsidRDefault="00420AE6">
      <w:pPr>
        <w:pStyle w:val="Compact"/>
        <w:numPr>
          <w:ilvl w:val="0"/>
          <w:numId w:val="4"/>
        </w:numPr>
      </w:pPr>
      <w:r>
        <w:t xml:space="preserve">Tsien, H. S., Yu, J. Y., &amp; Dai, R. W. (1990). A new science of science: Open complex giant systems and its methodology. </w:t>
      </w:r>
      <w:r>
        <w:rPr>
          <w:i/>
          <w:iCs/>
        </w:rPr>
        <w:t>Nature Magazine (Chinese)</w:t>
      </w:r>
      <w:r>
        <w:t>, 13(1), 3-10.</w:t>
      </w:r>
    </w:p>
    <w:p w14:paraId="3997D0E0" w14:textId="77777777" w:rsidR="00A465D6" w:rsidRDefault="00420AE6">
      <w:pPr>
        <w:pStyle w:val="Compact"/>
        <w:numPr>
          <w:ilvl w:val="0"/>
          <w:numId w:val="4"/>
        </w:numPr>
      </w:pPr>
      <w:r>
        <w:t xml:space="preserve">Hopp, W. J., &amp; Spearman, M. L. (1996). </w:t>
      </w:r>
      <w:r>
        <w:rPr>
          <w:i/>
          <w:iCs/>
        </w:rPr>
        <w:t>Factory Physics: Foundations of Manufacturing Management</w:t>
      </w:r>
      <w:r>
        <w:t>. Irwin/McGraw-Hill.</w:t>
      </w:r>
    </w:p>
    <w:p w14:paraId="1034F84C" w14:textId="77777777" w:rsidR="00A465D6" w:rsidRDefault="00420AE6">
      <w:pPr>
        <w:pStyle w:val="Compact"/>
        <w:numPr>
          <w:ilvl w:val="0"/>
          <w:numId w:val="4"/>
        </w:numPr>
      </w:pPr>
      <w:r>
        <w:t xml:space="preserve">Fisher, M. L. (1997). What is the right supply chain for your product? </w:t>
      </w:r>
      <w:r>
        <w:rPr>
          <w:i/>
          <w:iCs/>
        </w:rPr>
        <w:t>Harvard Business Review</w:t>
      </w:r>
      <w:r>
        <w:t>, 75(2), 105-116.</w:t>
      </w:r>
    </w:p>
    <w:p w14:paraId="5B2623B2" w14:textId="77777777" w:rsidR="00A465D6" w:rsidRDefault="00420AE6">
      <w:pPr>
        <w:pStyle w:val="Compact"/>
        <w:numPr>
          <w:ilvl w:val="0"/>
          <w:numId w:val="4"/>
        </w:numPr>
      </w:pPr>
      <w:r>
        <w:t xml:space="preserve">Cowan, N. (2001). The magical number 4 in short-term memory: A reconsideration of mental storage capacity. </w:t>
      </w:r>
      <w:r>
        <w:rPr>
          <w:i/>
          <w:iCs/>
        </w:rPr>
        <w:t>Behavioral and Brain Sciences</w:t>
      </w:r>
      <w:r>
        <w:t>, 24(1), 87-114.</w:t>
      </w:r>
    </w:p>
    <w:p w14:paraId="61344452" w14:textId="77777777" w:rsidR="00A465D6" w:rsidRDefault="00420AE6">
      <w:pPr>
        <w:pStyle w:val="Compact"/>
        <w:numPr>
          <w:ilvl w:val="0"/>
          <w:numId w:val="4"/>
        </w:numPr>
      </w:pPr>
      <w:r>
        <w:t xml:space="preserve">Wolfram, S. (2002). </w:t>
      </w:r>
      <w:r>
        <w:rPr>
          <w:i/>
          <w:iCs/>
        </w:rPr>
        <w:t>A New Kind of Science</w:t>
      </w:r>
      <w:r>
        <w:t>. Champaign, IL: Wolfram Media.</w:t>
      </w:r>
    </w:p>
    <w:p w14:paraId="2D2DE3C5" w14:textId="77777777" w:rsidR="00A465D6" w:rsidRDefault="00420AE6">
      <w:pPr>
        <w:pStyle w:val="Compact"/>
        <w:numPr>
          <w:ilvl w:val="0"/>
          <w:numId w:val="4"/>
        </w:numPr>
      </w:pPr>
      <w:r>
        <w:t xml:space="preserve">Meng, F. (2026). </w:t>
      </w:r>
      <w:r>
        <w:rPr>
          <w:i/>
          <w:iCs/>
        </w:rPr>
        <w:t>System and Complexity Science: Generation, Persistence, and Evolution of Order — Governing Principles of Open Complex Giant Systems</w:t>
      </w:r>
      <w:r>
        <w:t>. Zenodo. DOI: 10.5281/zenodo.22033928.</w:t>
      </w:r>
    </w:p>
    <w:bookmarkEnd w:id="12"/>
    <w:bookmarkEnd w:id="0"/>
    <w:sectPr w:rsidR="00A465D6" w:rsidSect="00420AE6">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3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DA78F" w14:textId="77777777" w:rsidR="00420AE6" w:rsidRDefault="00420AE6" w:rsidP="00420AE6">
      <w:pPr>
        <w:spacing w:after="0"/>
      </w:pPr>
      <w:r>
        <w:separator/>
      </w:r>
    </w:p>
  </w:endnote>
  <w:endnote w:type="continuationSeparator" w:id="0">
    <w:p w14:paraId="65ED3A20" w14:textId="77777777" w:rsidR="00420AE6" w:rsidRDefault="00420AE6" w:rsidP="00420A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A5F98" w14:textId="77777777" w:rsidR="00420AE6" w:rsidRDefault="00420AE6" w:rsidP="00D83691">
    <w:pPr>
      <w:pStyle w:val="af2"/>
      <w:framePr w:wrap="around" w:vAnchor="text" w:hAnchor="margin" w:xAlign="center" w:y="1"/>
      <w:rPr>
        <w:rStyle w:val="af4"/>
      </w:rPr>
    </w:pPr>
    <w:r>
      <w:rPr>
        <w:rStyle w:val="af4"/>
      </w:rPr>
      <w:fldChar w:fldCharType="begin"/>
    </w:r>
    <w:r>
      <w:rPr>
        <w:rStyle w:val="af4"/>
      </w:rPr>
      <w:instrText xml:space="preserve"> PAGE </w:instrText>
    </w:r>
    <w:r>
      <w:rPr>
        <w:rStyle w:val="af4"/>
      </w:rPr>
      <w:fldChar w:fldCharType="end"/>
    </w:r>
  </w:p>
  <w:p w14:paraId="479EB9C4" w14:textId="77777777" w:rsidR="00420AE6" w:rsidRDefault="00420AE6">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1F8FA" w14:textId="7F6B1884" w:rsidR="00420AE6" w:rsidRDefault="00420AE6" w:rsidP="00D83691">
    <w:pPr>
      <w:pStyle w:val="af2"/>
      <w:framePr w:wrap="around"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1</w:t>
    </w:r>
    <w:r>
      <w:rPr>
        <w:rStyle w:val="af4"/>
      </w:rPr>
      <w:fldChar w:fldCharType="end"/>
    </w:r>
  </w:p>
  <w:p w14:paraId="2F968797" w14:textId="77777777" w:rsidR="00420AE6" w:rsidRDefault="00420AE6">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731F0" w14:textId="77777777" w:rsidR="00420AE6" w:rsidRDefault="00420AE6">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1C42E" w14:textId="77777777" w:rsidR="00420AE6" w:rsidRDefault="00420AE6" w:rsidP="00420AE6">
      <w:pPr>
        <w:spacing w:after="0"/>
      </w:pPr>
      <w:r>
        <w:separator/>
      </w:r>
    </w:p>
  </w:footnote>
  <w:footnote w:type="continuationSeparator" w:id="0">
    <w:p w14:paraId="4910EB52" w14:textId="77777777" w:rsidR="00420AE6" w:rsidRDefault="00420AE6" w:rsidP="00420AE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73C67" w14:textId="77777777" w:rsidR="00420AE6" w:rsidRDefault="00420AE6">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32531" w14:textId="77777777" w:rsidR="00420AE6" w:rsidRDefault="00420AE6">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8B358" w14:textId="77777777" w:rsidR="00420AE6" w:rsidRDefault="00420AE6">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268A6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346C5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C4ED1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74150791">
    <w:abstractNumId w:val="0"/>
  </w:num>
  <w:num w:numId="2" w16cid:durableId="427626460">
    <w:abstractNumId w:val="1"/>
  </w:num>
  <w:num w:numId="3" w16cid:durableId="613515187">
    <w:abstractNumId w:val="1"/>
  </w:num>
  <w:num w:numId="4" w16cid:durableId="1257712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465D6"/>
    <w:rsid w:val="00420AE6"/>
    <w:rsid w:val="007B1952"/>
    <w:rsid w:val="00A465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333BFD5"/>
  <w15:docId w15:val="{CC272A6A-EA40-4AE5-B853-5BD7CB7E7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pPr>
    <w:rPr>
      <w:rFonts w:ascii="Times New Roman" w:hAnsi="Times New Roman" w:cs="Times New Roman"/>
      <w:sz w:val="22"/>
    </w:rPr>
  </w:style>
  <w:style w:type="paragraph" w:styleId="1">
    <w:name w:val="heading 1"/>
    <w:basedOn w:val="a"/>
    <w:next w:val="a0"/>
    <w:link w:val="10"/>
    <w:uiPriority w:val="9"/>
    <w:qFormat/>
    <w:rsid w:val="00A10FD9"/>
    <w:pPr>
      <w:keepNext/>
      <w:keepLines/>
      <w:spacing w:before="360" w:after="160"/>
      <w:outlineLvl w:val="0"/>
    </w:pPr>
    <w:rPr>
      <w:rFonts w:ascii="Arial" w:eastAsiaTheme="majorEastAsia" w:hAnsi="Arial" w:cs="Arial"/>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Arial" w:eastAsiaTheme="majorEastAsia" w:hAnsi="Arial" w:cs="Arial"/>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ascii="Arial" w:eastAsiaTheme="majorEastAsia" w:hAnsi="Arial" w:cs="Arial"/>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ascii="Arial" w:eastAsiaTheme="majorEastAsia" w:hAnsi="Arial" w:cs="Arial"/>
      <w:b/>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360" w:after="160"/>
      <w:contextualSpacing/>
      <w:jc w:val="center"/>
    </w:pPr>
    <w:rPr>
      <w:rFonts w:ascii="Arial" w:eastAsiaTheme="majorEastAsia" w:hAnsi="Arial" w:cs="Arial"/>
      <w:b/>
      <w:sz w:val="56"/>
      <w:szCs w:val="56"/>
    </w:rPr>
  </w:style>
  <w:style w:type="character" w:customStyle="1" w:styleId="a5">
    <w:name w:val="标题 字符"/>
    <w:basedOn w:val="a1"/>
    <w:link w:val="a4"/>
    <w:uiPriority w:val="10"/>
    <w:rsid w:val="00A10FD9"/>
    <w:rPr>
      <w:rFonts w:ascii="Arial" w:eastAsiaTheme="majorEastAsia" w:hAnsi="Arial" w:cs="Arial"/>
      <w:b/>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ascii="Arial" w:eastAsiaTheme="majorEastAsia" w:hAnsi="Arial" w:cs="Arial"/>
      <w:b/>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Arial" w:eastAsiaTheme="majorEastAsia" w:hAnsi="Arial" w:cs="Arial"/>
      <w:b/>
      <w:color w:val="0F4761" w:themeColor="accent1" w:themeShade="BF"/>
      <w:sz w:val="40"/>
      <w:szCs w:val="40"/>
    </w:rPr>
  </w:style>
  <w:style w:type="character" w:customStyle="1" w:styleId="20">
    <w:name w:val="标题 2 字符"/>
    <w:basedOn w:val="a1"/>
    <w:link w:val="2"/>
    <w:uiPriority w:val="9"/>
    <w:semiHidden/>
    <w:rsid w:val="00A10FD9"/>
    <w:rPr>
      <w:rFonts w:ascii="Arial" w:eastAsiaTheme="majorEastAsia" w:hAnsi="Arial" w:cs="Arial"/>
      <w:b/>
      <w:color w:val="0F4761" w:themeColor="accent1" w:themeShade="BF"/>
      <w:sz w:val="32"/>
      <w:szCs w:val="32"/>
    </w:rPr>
  </w:style>
  <w:style w:type="character" w:customStyle="1" w:styleId="30">
    <w:name w:val="标题 3 字符"/>
    <w:basedOn w:val="a1"/>
    <w:link w:val="3"/>
    <w:uiPriority w:val="9"/>
    <w:semiHidden/>
    <w:rsid w:val="00A10FD9"/>
    <w:rPr>
      <w:rFonts w:ascii="Arial" w:eastAsiaTheme="majorEastAsia" w:hAnsi="Arial" w:cs="Arial"/>
      <w:b/>
      <w:color w:val="0F4761" w:themeColor="accent1" w:themeShade="BF"/>
      <w:sz w:val="28"/>
      <w:szCs w:val="28"/>
    </w:rPr>
  </w:style>
  <w:style w:type="character" w:customStyle="1" w:styleId="40">
    <w:name w:val="标题 4 字符"/>
    <w:basedOn w:val="a1"/>
    <w:link w:val="4"/>
    <w:uiPriority w:val="9"/>
    <w:semiHidden/>
    <w:rsid w:val="00A10FD9"/>
    <w:rPr>
      <w:rFonts w:ascii="Arial" w:eastAsiaTheme="majorEastAsia" w:hAnsi="Arial" w:cs="Arial"/>
      <w:b/>
      <w:i/>
      <w:iCs/>
      <w:color w:val="0F4761" w:themeColor="accent1" w:themeShade="BF"/>
      <w:sz w:val="22"/>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hAnsiTheme="majorHAnsi" w:cstheme="majorBidi"/>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420AE6"/>
    <w:pPr>
      <w:tabs>
        <w:tab w:val="center" w:pos="4153"/>
        <w:tab w:val="right" w:pos="8306"/>
      </w:tabs>
      <w:snapToGrid w:val="0"/>
      <w:jc w:val="center"/>
    </w:pPr>
    <w:rPr>
      <w:sz w:val="18"/>
      <w:szCs w:val="18"/>
    </w:rPr>
  </w:style>
  <w:style w:type="character" w:customStyle="1" w:styleId="af1">
    <w:name w:val="页眉 字符"/>
    <w:basedOn w:val="a1"/>
    <w:link w:val="af0"/>
    <w:rsid w:val="00420AE6"/>
    <w:rPr>
      <w:sz w:val="18"/>
      <w:szCs w:val="18"/>
    </w:rPr>
  </w:style>
  <w:style w:type="paragraph" w:styleId="af2">
    <w:name w:val="footer"/>
    <w:basedOn w:val="a"/>
    <w:link w:val="af3"/>
    <w:rsid w:val="00420AE6"/>
    <w:pPr>
      <w:tabs>
        <w:tab w:val="center" w:pos="4153"/>
        <w:tab w:val="right" w:pos="8306"/>
      </w:tabs>
      <w:snapToGrid w:val="0"/>
    </w:pPr>
    <w:rPr>
      <w:sz w:val="18"/>
      <w:szCs w:val="18"/>
    </w:rPr>
  </w:style>
  <w:style w:type="character" w:customStyle="1" w:styleId="af3">
    <w:name w:val="页脚 字符"/>
    <w:basedOn w:val="a1"/>
    <w:link w:val="af2"/>
    <w:rsid w:val="00420AE6"/>
    <w:rPr>
      <w:sz w:val="18"/>
      <w:szCs w:val="18"/>
    </w:rPr>
  </w:style>
  <w:style w:type="character" w:styleId="af4">
    <w:name w:val="page number"/>
    <w:basedOn w:val="a1"/>
    <w:rsid w:val="00420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4515</Words>
  <Characters>27680</Characters>
  <Application>Microsoft Office Word</Application>
  <DocSecurity>0</DocSecurity>
  <Lines>553</Lines>
  <Paragraphs>145</Paragraphs>
  <ScaleCrop>false</ScaleCrop>
  <Company/>
  <LinksUpToDate>false</LinksUpToDate>
  <CharactersWithSpaces>32050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2026-10-20T12:16:00Z</dcterms:created>
  <dcterms:modified xsi:type="dcterms:W3CDTF">2026-10-20T12:16:00Z</dcterms:modified>
</cp:coreProperties>
</file>