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Submission to IEEE Transactions on Engineering Management (IEEE TEM)</w:t>
        <w:br/>
        <w:br/>
        <w:t>Date: September 9, 2026</w:t>
        <w:br/>
        <w:br/>
        <w:t>To: Editor-in-Chief and Editorial Board</w:t>
        <w:br/>
        <w:t>IEEE Transactions on Engineering Management</w:t>
        <w:br/>
        <w:br/>
        <w:t>Subject: Submission of Original Research Manuscript "The Productivity Paradox of Capital Returns in Enterprise Value Networks: Formal Proofs and Universal Computability of Open Complex Giant Systems via Non-IID State-Space Modeling"</w:t>
        <w:br/>
        <w:br/>
        <w:t>Dear Editor-in-Chief and Editorial Board Members,</w:t>
        <w:br/>
        <w:br/>
        <w:t>I am writing to submit our original research manuscript titled "The Productivity Paradox of Capital Returns in Enterprise Value Networks: Formal Proofs and Universal Computability of Open Complex Giant Systems via Non-IID State-Space Modeling" for consideration for publication as a Regular Research Article in IEEE Transactions on Engineering Management (IEEE TEM).</w:t>
        <w:br/>
        <w:br/>
        <w:t>### Background &amp; Core Problem Addressed</w:t>
        <w:br/>
        <w:t xml:space="preserve">Over the past two decades, global manufacturing enterprises have invested billions of dollars in enterprise digital transformation (ERP, APS, MES, WMS, control towers). However, average Return on Invested Capital (ROIC) in manufacturing has persistently stagnated or declined, resurrecting Brynjolfsson's classic "IT Productivity Paradox" in the era of industrial intelligence. </w:t>
        <w:br/>
        <w:br/>
        <w:t>We argue that the root cause lies in a fundamental paradigm mismatch: traditional enterprise architecture tools implicitly assume "Independent and Identically Distributed (IID)" weak coupling among functional departments, whereas physical manufacturing value networks are intrinsically Non-IID, high-dimensional, strongly-coupled Open Complex Giant Systems (OCGS), as originally conceptualized by Qian Xuesen.</w:t>
        <w:br/>
        <w:br/>
        <w:t>### Key Contributions &amp; Innovations</w:t>
        <w:br/>
        <w:t>This paper bridges Systems Science, Artificial Intelligence, and Enterprise Architecture to make four foundational contributions:</w:t>
        <w:br/>
        <w:t>1. **Value Chain Physics &amp; 5D State-Space Manifold**: We construct a Systemically Complete and Irreducible (SCI) 5D topological manifold M(t) = &lt;N, T, C, x(t), Delta x(t)&gt;, proving that departmental non-orthogonal KPI friction generates Vector Cancellation and internal dissipative heat Delta W_heat, eroding ROIC.</w:t>
        <w:br/>
        <w:t>2. **Complexity Reduction ($O(N!) \to O(N \log N)$)**: We propose a 5D Double-Helix Architecture combining a Holographic Data Model and Dynamic Evolution Algorithms. Through Prior Partitioning (Pi) and Rigid Manifold Operators (Pi_bot), we achieve algebraic pruning from factorial O(N!) search spaces to polynomial O(N log N) scalability.</w:t>
        <w:br/>
        <w:t>3. **Formal Proofs of Qian Xuesen's OCGS Principles**: We provide rigorous mathematical proofs for the necessary and sufficient conditions of Qian Xuesen's three core OCGS principles (Overall Design Department, Hall of Workshop for Decision Support, and Human-Machine Integration with Human-in-the-Lead).</w:t>
        <w:br/>
        <w:t>4. **10-Year Field Empirical Validation ($100B Enterprise Network)**: We report a 10-year longitudinal field deployment (2015–2024; audited 2014–2024 financial records) across Lenovo Group's global manufacturing network (including the WEF Lighthouse Factory in Hefei). Empirical results and rigorous ablation studies confirm that closed-loop autonomous decision write-back achieves 98.4% On-Time Delivery (OTD), 24.6 inventory turns/year (+1.9x), and releases over RMB 3.5 billion in Net Working Capital (NWC).</w:t>
        <w:br/>
        <w:br/>
        <w:t>### Fit for IEEE Transactions on Engineering Management</w:t>
        <w:br/>
        <w:t>IEEE TEM is the flagship journal advancing engineering management, technology strategy, digital transformation, and complex system architectures. Our paper uniquely bridges mathematical system proofs with audited field empirical performance across global manufacturing networks, directly addressing the core mission of IEEE TEM.</w:t>
        <w:br/>
        <w:br/>
        <w:t>### Declarations</w:t>
        <w:br/>
        <w:t>- This manuscript is an original work and has not been published previously, nor is it under consideration for publication elsewhere.</w:t>
        <w:br/>
        <w:t>- All authors have read and approved the final manuscript.</w:t>
        <w:br/>
        <w:t>- The authors declare no conflict of interest. 脱敏 aggregation data and algorithm specs can be made available upon reasonable request under NDA.</w:t>
        <w:br/>
        <w:br/>
        <w:t>Thank you very much for your time and consideration of our manuscript. We look forward to hearing from you regarding the peer review process.</w:t>
        <w:br/>
        <w:br/>
        <w:t>Sincerely,</w:t>
        <w:br/>
        <w:br/>
        <w:t>Fanchun Meng (Grit Meng)</w:t>
        <w:br/>
        <w:t>Chief Architect, Department of Intelligent Planning &amp; Control (IPC) / Independent Researcher</w:t>
        <w:br/>
        <w:t>Beijing, China</w:t>
        <w:br/>
        <w:t>Email: gritmeng@outlook.com</w:t>
        <w:br/>
        <w:t>SSRN Author Page: Abstract ID 7251098 | Zenodo Monograph Archive: DOI: 10.5281/zenodo.22033928</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