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162563981d3d3451c375082c623a42b3eb6d11"/>
    <w:p>
      <w:pPr>
        <w:pStyle w:val="Heading1"/>
        <w:spacing w:before="280" w:after="120"/>
      </w:pPr>
      <w:r>
        <w:t xml:space="preserve">Value Chain Physics: Formal Proof and Industrial Validation Based on Non-IID and Qian Xuesen’s Open Complex Giant Systems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Start w:id="9" w:name="abstract"/>
    <w:p>
      <w:pPr>
        <w:pStyle w:val="Heading2"/>
        <w:spacing w:before="200" w:after="80"/>
      </w:pPr>
      <w:r>
        <w:t xml:space="preserve">Abstract</w:t>
      </w:r>
    </w:p>
    <w:p>
      <w:pPr>
        <w:pStyle w:val="FirstParagraph"/>
        <w:spacing w:line="300" w:lineRule="auto" w:after="80"/>
      </w:pPr>
      <w:r>
        <w:t xml:space="preserve">Addressing the computational breakdown and system instability caused by the implicit Independent and Identically Distributed (IID) assumption in traditional industrial engineering, this paper establishes</w:t>
      </w:r>
      <w:r>
        <w:t xml:space="preserve"> </w:t>
      </w:r>
      <w:r>
        <w:rPr>
          <w:b/>
          <w:bCs/>
        </w:rPr>
        <w:t xml:space="preserve">Non-Identical and Non-Independently Distributed (Non-IID, Cao, 2022)</w:t>
      </w:r>
      <w:r>
        <w:t xml:space="preserve"> </w:t>
      </w:r>
      <w:r>
        <w:t xml:space="preserve">as the first principle based on Qian Xuesen’s Open Complex Giant Systems (OCGS) theory. We derive a qualitative</w:t>
      </w:r>
      <w:r>
        <w:t xml:space="preserve"> </w:t>
      </w:r>
      <w:r>
        <w:rPr>
          <w:b/>
          <w:bCs/>
        </w:rPr>
        <w:t xml:space="preserve">Eight-Axiom System of Value Chain Physics</w:t>
      </w:r>
      <w:r>
        <w:t xml:space="preserve"> </w:t>
      </w:r>
      <w:r>
        <w:t xml:space="preserve">spanning Teleology to Evolution and construct a five-dimensional orthogonal topological manifold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Through four core lemmas—</w:t>
      </w:r>
      <w:r>
        <w:t xml:space="preserve">“Non-Decomposability,”</w:t>
      </w:r>
      <w:r>
        <w:t xml:space="preserve"> </w:t>
      </w:r>
      <w:r>
        <w:t xml:space="preserve">“Carbon-Based Channel Capacity Limitation,”</w:t>
      </w:r>
      <w:r>
        <w:t xml:space="preserve"> </w:t>
      </w:r>
      <w:r>
        <w:t xml:space="preserve">“Single-Brain Decision Convergence,”</w:t>
      </w:r>
      <w:r>
        <w:t xml:space="preserve"> </w:t>
      </w:r>
      <w:r>
        <w:t xml:space="preserve">and</w:t>
      </w:r>
      <w:r>
        <w:t xml:space="preserve"> </w:t>
      </w:r>
      <w:r>
        <w:t xml:space="preserve">“Human-Out-of-the-Loop Long-Term Convergence”</w:t>
      </w:r>
      <w:r>
        <w:t xml:space="preserve">—we present a rigorous formal proof for</w:t>
      </w:r>
      <w:r>
        <w:t xml:space="preserve"> </w:t>
      </w:r>
      <w:r>
        <w:rPr>
          <w:b/>
          <w:bCs/>
        </w:rPr>
        <w:t xml:space="preserve">Theorem 1 (Closed-Loop Convergence Theorem for Non-IID Complex Giant Systems)</w:t>
      </w:r>
      <w:r>
        <w:t xml:space="preserve">. The theorem proves that the topological pruning operator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</m:oMath>
      <w:r>
        <w:t xml:space="preserve"> </w:t>
      </w:r>
      <w:r>
        <w:t xml:space="preserve">maps the non-convex domain into a locally strongly convex hyperplane within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physical time window. Combined with the</w:t>
      </w:r>
      <w:r>
        <w:t xml:space="preserve"> </w:t>
      </w:r>
      <w:r>
        <w:rPr>
          <w:b/>
          <w:bCs/>
        </w:rPr>
        <w:t xml:space="preserve">Banach Fixed-Point Theorem</w:t>
      </w:r>
      <w:r>
        <w:t xml:space="preserve"> </w:t>
      </w:r>
      <w:r>
        <w:t xml:space="preserve">in a normed Banach space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we prove the existence and uniqueness of a self-consistent</w:t>
      </w:r>
      <w:r>
        <w:t xml:space="preserve"> </w:t>
      </w:r>
      <w:r>
        <w:rPr>
          <w:b/>
          <w:bCs/>
        </w:rPr>
        <w:t xml:space="preserve">structural fixed point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driving variational free energy minimization and convergence to a strong local optimum, thereby completing the formal closure of computability for Qian Xuesen’s OCGS theory.</w:t>
      </w:r>
    </w:p>
    <w:p>
      <w:pPr>
        <w:pStyle w:val="BodyText"/>
        <w:spacing w:line="300" w:lineRule="auto" w:after="80"/>
      </w:pPr>
      <w:r>
        <w:t xml:space="preserve">In real-world physical production environments across Lenovo’s Global Integrated Planning System (IPS) and LCFC (Hefei, WEF Lighthouse Factory), the system daily computes 50,000 discrete backlog orders, 2,000,000 SKU-Site nodes, and over 150,000 physical constraints. Continuous 18-month empirical validation demonstrates that the system achieves an autonomous decision-making ratio of</w:t>
      </w:r>
      <w:r>
        <w:t xml:space="preserve"> </w:t>
      </w:r>
      <w:r>
        <w:rPr>
          <w:b/>
          <w:bCs/>
        </w:rPr>
        <w:t xml:space="preserve">over 95.0% for silicon-based rigid closed-loop automation</w:t>
      </w:r>
      <w:r>
        <w:t xml:space="preserve">, with zero manual order modifications during steady-state windows. The 48-hour order delivery commitment response rate surged from 50%–60% prior to deployment and rigidly stabilized at</w:t>
      </w:r>
      <w:r>
        <w:t xml:space="preserve"> </w:t>
      </w:r>
      <w:r>
        <w:rPr>
          <w:b/>
          <w:bCs/>
        </w:rPr>
        <w:t xml:space="preserve">over 98.0%</w:t>
      </w:r>
      <w:r>
        <w:t xml:space="preserve">. During the validation period, extreme phase transitions were triggered only 3 times (with an average meta-cognitive reconstruction duration of 14.2 minutes), fully verifying that Qian Xuesen’s Open Complex Giant System possesses concrete</w:t>
      </w:r>
      <w:r>
        <w:t xml:space="preserve"> </w:t>
      </w:r>
      <w:r>
        <w:t xml:space="preserve">“Human-Out-of-the-Loop computability and executability”</w:t>
      </w:r>
      <w:r>
        <w:t xml:space="preserve"> </w:t>
      </w:r>
      <w:r>
        <w:t xml:space="preserve">in coherent industrial reality.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Keywords</w:t>
      </w:r>
      <w:r>
        <w:t xml:space="preserve">: Value Chain Physics; Non-IID; Open Complex Giant System (OCGS); Banach Fixed-Point Theorem; Structural Fixed Point; Formal Proof; Human-Out-of-the-Loop Autonomous Control; Industrial Validation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9"/>
    <w:bookmarkStart w:id="12" w:name="X0c8deae2059490a70231eef3808bf9723c3e609"/>
    <w:p>
      <w:pPr>
        <w:pStyle w:val="Heading2"/>
        <w:spacing w:before="200" w:after="80"/>
      </w:pPr>
      <w:r>
        <w:t xml:space="preserve">1. Introduction and Scientific Problem: Phenomenological Observation and Essential Attribution</w:t>
      </w:r>
    </w:p>
    <w:p>
      <w:pPr>
        <w:pStyle w:val="FirstParagraph"/>
        <w:spacing w:line="300" w:lineRule="auto" w:after="80"/>
      </w:pPr>
      <w:r>
        <w:t xml:space="preserve">Traditional MRP and APS systems heavily rely on Independent and Identically Distributed (IID), linear decoupling, and stationarity assumptions (Spearman et al., 1990; Vollmann et al., 2005), which inevitably cause computational breakdown and cascading chain ruptures in Non-IID strongly coupled topological networks. A minor delivery delay of a single capacitor at a tier-3 supplier propagates upward through a 20-level BOM topological network, demonstrating phase transition emergence characteristic of Qian Xuesen’s Open Complex Giant System (OCGS) (Qian et al., 1990; Qian, 1992).</w:t>
      </w:r>
    </w:p>
    <w:bookmarkStart w:id="10" w:name="X2d3d3dda7d85db1ad1119fa9e2c92d04e38bc2b"/>
    <w:p>
      <w:pPr>
        <w:pStyle w:val="Heading3"/>
        <w:spacing w:before="160" w:after="60"/>
      </w:pPr>
      <w:r>
        <w:t xml:space="preserve">1.1 Phenomenological Observation: Demand-Supply Deviation Coherent Cancellation and Global Governance</w:t>
      </w:r>
    </w:p>
    <w:p>
      <w:pPr>
        <w:pStyle w:val="FirstParagraph"/>
        <w:spacing w:line="300" w:lineRule="auto" w:after="80"/>
      </w:pPr>
      <w:r>
        <w:t xml:space="preserve">During long-term extreme operations of Lenovo’s Global Integrated Planning System (IPS), we observed two decisive physical phenomena: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Demand-Supply Deviation Coherent Cancellation</w:t>
      </w:r>
      <w:r>
        <w:t xml:space="preserve">: In multi-level BOM strongly coupled networks, the microscopic demand deviation vector and supply recovery deviation vector at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achieve phase coherence via rigid closed-loop operators, satisfying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rPr>
                <m:nor/>
                <m:sty m:val="p"/>
              </m:rPr>
              <m:t>BOM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v</m:t>
                    </m:r>
                  </m:e>
                  <m:sub>
                    <m:r>
                      <m:rPr>
                        <m:nor/>
                        <m:sty m:val="p"/>
                      </m:rPr>
                      <m:t>demand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bi"/>
                      </m:rPr>
                      <m:t>v</m:t>
                    </m:r>
                  </m:e>
                  <m:sub>
                    <m:r>
                      <m:rPr>
                        <m:nor/>
                        <m:sty m:val="p"/>
                      </m:rPr>
                      <m:t>supply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d>
          </m:e>
        </m:nary>
        <m:r>
          <m:rPr>
            <m:sty m:val="p"/>
          </m:rPr>
          <m:t>≈</m:t>
        </m:r>
        <m:r>
          <m:rPr>
            <m:sty m:val="b"/>
          </m:rPr>
          <m:t>0</m:t>
        </m:r>
      </m:oMath>
      <w:r>
        <w:t xml:space="preserve">, realizing physical cancellation of positive and negative vectors at intermediate tiers and preventing the bullwhip effect from diverging toward finished products.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Global Governance</w:t>
      </w:r>
      <w:r>
        <w:t xml:space="preserve">: If and only if decision control collapses into a single central planning engine singularity, the communication noise and decision friction originating from cross-departmental multi-agent coordination drops from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maximizing the overall value chain effective work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.</w:t>
      </w:r>
    </w:p>
    <w:bookmarkEnd w:id="10"/>
    <w:bookmarkStart w:id="11" w:name="X9a2cb7dcecc73eacd953c60b832bca32266889d"/>
    <w:p>
      <w:pPr>
        <w:pStyle w:val="Heading3"/>
        <w:spacing w:before="160" w:after="60"/>
      </w:pPr>
      <w:r>
        <w:t xml:space="preserve">1.2 Essential Attribution: From Non-IID Coupling to State-Space Explosion</w:t>
      </w:r>
    </w:p>
    <w:p>
      <w:pPr>
        <w:pStyle w:val="FirstParagraph"/>
        <w:spacing w:line="300" w:lineRule="auto" w:after="80"/>
      </w:pPr>
      <w:r>
        <w:t xml:space="preserve">To achieve global governance, the core physical barrier is the</w:t>
      </w:r>
      <w:r>
        <w:t xml:space="preserve"> </w:t>
      </w:r>
      <w:r>
        <w:rPr>
          <w:b/>
          <w:bCs/>
        </w:rPr>
        <w:t xml:space="preserve">Non-Identical and Non-Independently Distributed (Non-IID)</w:t>
      </w:r>
      <w:r>
        <w:t xml:space="preserve"> </w:t>
      </w:r>
      <w:r>
        <w:t xml:space="preserve">strong coupling nature of the system (Cao, 2022):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Non-Independence</w:t>
      </w:r>
      <w:r>
        <w:t xml:space="preserve">: Topological strong coherence exists between materials and nodes, i.e.,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Non-Identical Distribution</w:t>
      </w:r>
      <w:r>
        <w:t xml:space="preserve">: Heterogeneity exists across node probability distributions and time windows, i.e.,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rPr>
                <m:scr m:val="double-struck"/>
                <m:sty m:val="p"/>
              </m:rPr>
              <m:t>P</m:t>
            </m:r>
          </m:e>
          <m:sub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spacing w:line="300" w:lineRule="auto" w:after="80"/>
      </w:pPr>
      <w:r>
        <w:t xml:space="preserve">The</w:t>
      </w:r>
      <w:r>
        <w:t xml:space="preserve"> </w:t>
      </w:r>
      <w:r>
        <w:rPr>
          <w:b/>
          <w:bCs/>
        </w:rPr>
        <w:t xml:space="preserve">complete deductive logic chain</w:t>
      </w:r>
      <w:r>
        <w:t xml:space="preserve"> </w:t>
      </w:r>
      <w:r>
        <w:t xml:space="preserve">from Non-IID coupling to state-space explosion is as follows: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Non-Decomposability of Joint Probability</w:t>
      </w:r>
      <w:r>
        <w:t xml:space="preserve">: Under Non-IID conditions, joint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preventing problem decomposition into independent subproblems;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Failure of Divide-and-Conquer and Dynamic Programming</w:t>
      </w:r>
      <w:r>
        <w:t xml:space="preserve">: Non-decomposability invalidates Bellman’s Principle of Optimality and deprives Divide-and-Conquer algorithms of dimension reduction premises;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Combinatorial Explosion</w:t>
      </w:r>
      <w:r>
        <w:t xml:space="preserve">: Sequencing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discrete work orders across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shared-capacity work centers yields a feasible operation permutation space exhibiting</w:t>
      </w:r>
      <w:r>
        <w:t xml:space="preserve"> </w:t>
      </w:r>
      <w:r>
        <w:rPr>
          <w:b/>
          <w:bCs/>
        </w:rPr>
        <w:t xml:space="preserve">Super-factorial</w:t>
      </w:r>
      <w:r>
        <w:t xml:space="preserve"> </w:t>
      </w:r>
      <w:r>
        <w:t xml:space="preserve">growth (complexity far exceeding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  <w:spacing w:line="300" w:lineRule="auto" w:after="80"/>
      </w:pPr>
      <w:r>
        <w:t xml:space="preserve">Therefore,</w:t>
      </w:r>
      <w:r>
        <w:t xml:space="preserve"> </w:t>
      </w:r>
      <w:r>
        <w:rPr>
          <w:b/>
          <w:bCs/>
        </w:rPr>
        <w:t xml:space="preserve">Non-IID must be established as the First Principle of Value Chain Physics</w:t>
      </w:r>
      <w:r>
        <w:t xml:space="preserve">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5" w:name="Xa8f78a04fb07e1f33b02f5ef05c293ba95bf0c8"/>
    <w:p>
      <w:pPr>
        <w:pStyle w:val="Heading2"/>
        <w:spacing w:before="200" w:after="80"/>
      </w:pPr>
      <w:r>
        <w:t xml:space="preserve">2. Traceability and Paradigm Alignment with Qian Xuesen’s OCGS Theory</w:t>
      </w:r>
    </w:p>
    <w:bookmarkStart w:id="13" w:name="Xf94c48a69e4893173b97b9b355782f5de0690f7"/>
    <w:p>
      <w:pPr>
        <w:pStyle w:val="Heading3"/>
        <w:spacing w:before="160" w:after="60"/>
      </w:pPr>
      <w:r>
        <w:t xml:space="preserve">2.1 Theoretical Traceability and Paradigm Shift</w:t>
      </w:r>
    </w:p>
    <w:p>
      <w:pPr>
        <w:pStyle w:val="FirstParagraph"/>
        <w:spacing w:line="300" w:lineRule="auto" w:after="80"/>
      </w:pPr>
      <w:r>
        <w:t xml:space="preserve">Qian Xuesen et al. (1990, 1992) proposed that Open Complex Giant Systems must adopt the Hall of Workshop for Decision Support (HWDS) from qualitative to quantitative intelligence. Early HWDS emphasized</w:t>
      </w:r>
      <w:r>
        <w:t xml:space="preserve"> </w:t>
      </w:r>
      <w:r>
        <w:t xml:space="preserve">“Human-in-the-Loop.”</w:t>
      </w:r>
      <w:r>
        <w:t xml:space="preserve"> </w:t>
      </w:r>
      <w:r>
        <w:t xml:space="preserve">With the development of physical axioms in value chain physics, HWDS has undergone a paradigm shift: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Normal State Human-Out-of-the-Loop</w:t>
      </w:r>
      <w:r>
        <w:t xml:space="preserve">: High-frequency microscopic net demand resolution and instruction write-back are executed autonomously by silicon operators, achieving an autonomous decision ratio exceeding 95.0%, with average human intervention satisfying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t>I</m:t>
                </m:r>
              </m:e>
              <m:sub>
                <m:r>
                  <m:rPr>
                    <m:nor/>
                    <m:sty m:val="p"/>
                  </m:rPr>
                  <m:t>intervention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&lt;</m:t>
        </m:r>
        <m:r>
          <m:t>ϵ</m:t>
        </m:r>
      </m:oMath>
      <w:r>
        <w:t xml:space="preserve">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Abnormal State Human-on-the-Loop</w:t>
      </w:r>
      <w:r>
        <w:t xml:space="preserve">: When sudden external extreme phase transitions render the feasible solution domain 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), human experts step into the loop to execute the meta-cognitive operator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: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reconstructing axiom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</m:sub>
        </m:sSub>
      </m:oMath>
      <w:r>
        <w:t xml:space="preserve">.</w:t>
      </w:r>
    </w:p>
    <w:bookmarkEnd w:id="13"/>
    <w:bookmarkStart w:id="14" w:name="X86d62068deeffc166b094150061f94de222d496"/>
    <w:p>
      <w:pPr>
        <w:pStyle w:val="Heading3"/>
        <w:spacing w:before="160" w:after="60"/>
      </w:pPr>
      <w:r>
        <w:t xml:space="preserve">2.2 Explicit Mapping Alignment Between OCGS Theory and Value Chain Physics</w:t>
      </w:r>
    </w:p>
    <w:p>
      <w:pPr>
        <w:pStyle w:val="FirstParagraph"/>
        <w:spacing w:line="300" w:lineRule="auto" w:after="80"/>
      </w:pPr>
      <w:r>
        <w:t xml:space="preserve">To explicitly demonstrate the complete inheritance and physical proof of Qian Xuesen’s OCGS theory by Value Chain Physics, Table 1 establishes the mapping alignment: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Table 1: Explicit Alignment Between Qian Xuesen’s OCGS Propositions and VCP Proofs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Qian Xuesen’s OCGS Proposition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Value Chain Physics (VCP) Corresponding Proof and Axioms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1. Reductionism Failure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Non-IID joint probability non-decomposability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∏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; divide-and-conquer and dynamic programming fail, triggering super-factorial explosion.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2. Giant System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2,000,000 SKU-Site nodes, 20-level BOM depth, 150,000 physical constraints.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3. Complexity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Non-IID strong topological coupling; local microscopic perturbations cascade along the BOM.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4. Openness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External extreme phase transitions render feasible domain empty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rPr>
                <w:color w:val="222222"/>
              </w:rPr>
              <w:t xml:space="preserve">, triggering meta-cognitive operator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rPr>
                <w:color w:val="222222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5. Qualitative to Quantitative Integration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Eight Axioms (Teleology to Evolution) + 5D topological manifold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 xml:space="preserve">+ Digital Dual-Helix ontology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Π</m:t>
              </m:r>
            </m:oMath>
            <w:r>
              <w:rPr>
                <w:color w:val="222222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6. Human-Machine Combination with Human Dominance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Normal state Human-Out-of-the-Loop autonomous closed loop + Abnormal state Human-on-the-Loop meta-cognitive reconstruction (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color w:val="222222"/>
              </w:rPr>
              <w:t xml:space="preserve">).</w:t>
            </w:r>
          </w:p>
        </w:tc>
      </w:tr>
    </w:tbl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2" w:name="Xe87324b003e04690a20088714289ff91a44c45a"/>
    <w:p>
      <w:pPr>
        <w:pStyle w:val="Heading2"/>
        <w:spacing w:before="200" w:after="80"/>
      </w:pPr>
      <w:r>
        <w:t xml:space="preserve">3. Qualitative Eight-Axiom System of Value Chain Physics (Teleology to Evolution)</w:t>
      </w:r>
    </w:p>
    <w:bookmarkStart w:id="16" w:name="complete-notation-table"/>
    <w:p>
      <w:pPr>
        <w:pStyle w:val="Heading3"/>
        <w:spacing w:before="160" w:after="60"/>
      </w:pPr>
      <w:r>
        <w:t xml:space="preserve">3.0 Complete Notation Table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Symbol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Definition and Physical Meaning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Dimension / Type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Five-dimensional topological manifold of the system at time</w:t>
            </w:r>
            <w:r>
              <w:rPr>
                <w:color w:val="222222"/>
              </w:rPr>
              <w:t xml:space="preserve"> </w:t>
            </w:r>
            <m:oMath>
              <m:r>
                <m:t>t</m:t>
              </m:r>
            </m:oMath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Topological Manifold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Discrete entity node set (factories, machines, warehouses, SKUs)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Point Set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Non-IID directed strongly coupled graph topology based on BOM and routing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Edge Set / Adjacency Matrix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Dynamic constraint hyperplane set of capacity, material kitting, delivery, and capital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Constraint Set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State transition tensor operator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Tensor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Physical state vector of nodes (inventory, WIP, backlog)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Vector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Global anti-entropy effective work (output and delivery response maximization)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Utility / Scalar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Π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Central solver operator (based on silicon dual-helix and lock-free DAG engine)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Mapping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Carbon-based meta-cognitive reconstruction operator (Domain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color w:val="222222"/>
              </w:rPr>
              <w:t xml:space="preserve">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State Machine Rewrite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Complete formal description set at time</w:t>
            </w:r>
            <w:r>
              <w:rPr>
                <w:color w:val="222222"/>
              </w:rPr>
              <w:t xml:space="preserve"> </w:t>
            </w:r>
            <m:oMath>
              <m:r>
                <m:t>t</m:t>
              </m:r>
            </m:oMath>
            <w:r>
              <w:rPr>
                <w:color w:val="222222"/>
              </w:rPr>
              <w:t xml:space="preserve">: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Axioms 3.1–3.8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}</m:t>
              </m:r>
            </m:oMath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Set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Lagrangian shadow price of the</w:t>
            </w:r>
            <w:r>
              <w:rPr>
                <w:color w:val="222222"/>
              </w:rPr>
              <w:t xml:space="preserve"> </w:t>
            </w:r>
            <m:oMath>
              <m:r>
                <m:t>j</m:t>
              </m:r>
            </m:oMath>
            <w:r>
              <w:rPr>
                <w:color w:val="222222"/>
              </w:rPr>
              <w:t xml:space="preserve">-th physical bottleneck constraint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Scalar (</w:t>
            </w:r>
            <m:oMath>
              <m:r>
                <m:rPr>
                  <m:nor/>
                  <m:sty m:val="p"/>
                </m:rPr>
                <m:t>Utility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Unit</m:t>
              </m:r>
            </m:oMath>
            <w:r>
              <w:rPr>
                <w:color w:val="222222"/>
              </w:rPr>
              <w:t xml:space="preserve">)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Capacity boundary of the</w:t>
            </w:r>
            <w:r>
              <w:rPr>
                <w:color w:val="222222"/>
              </w:rPr>
              <w:t xml:space="preserve"> </w:t>
            </w:r>
            <m:oMath>
              <m:r>
                <m:t>j</m:t>
              </m:r>
            </m:oMath>
            <w:r>
              <w:rPr>
                <w:color w:val="222222"/>
              </w:rPr>
              <w:t xml:space="preserve">-th physical bottleneck constraint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Physical Scalar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intervention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Planner manual exception intervention indicator at rare phase transition points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Dimensionless Ratio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Number of internal cross-departmental and administrative gaming entities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Integer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Global scalar objective function of the system (penalty cost)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Scalar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R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Symmetric positive definite weighting matrices of state deviation and control authority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Matrix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perturbation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Characteristic period of external environmental phase transition perturbations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Time (Hours / Days)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System incremental recomputation and sampling time interval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Time (Seconds / Minutes)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Minimum variational free energy of the system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Scalar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Internal variational posterior inference distribution and true environment condition distribution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Probability Density Function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IPC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Global closed-loop solver operator (based on topological pruning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cut</m:t>
                  </m:r>
                </m:sub>
              </m:sSub>
            </m:oMath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 xml:space="preserve">and contraction mapping)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Contraction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cut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DAG topology-locked dimension-reduction pruning operator (</w:t>
            </w: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nor/>
                      <m:sty m:val="p"/>
                    </m:rPr>
                    <m:t>non-convex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nor/>
                      <m:sty m:val="p"/>
                    </m:rPr>
                    <m:t>convex</m:t>
                  </m:r>
                </m:sub>
                <m:sup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bSup>
            </m:oMath>
            <w:r>
              <w:rPr>
                <w:color w:val="222222"/>
              </w:rPr>
              <w:t xml:space="preserve">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Mapping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Self-consistent structural fixed point coupling data structure and algorithm in Banach space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Structural Fixed Point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pert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Poisson arrival rate of external environmental phase transitions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Frequency /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Hour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resolve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Expected duration for expert meta-cognitive reconstruction intervention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Time (Hours)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Variational free energy gradient flow dissipation damping rate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Scalar Rate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proj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Local orthogonal projection operator from shadow price vector to state descent gradient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Matrix / Projection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demand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supply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Demand and supply deviation vectors at node</w:t>
            </w:r>
            <w:r>
              <w:rPr>
                <w:color w:val="222222"/>
              </w:rPr>
              <w:t xml:space="preserve"> </w:t>
            </w:r>
            <m:oMath>
              <m:r>
                <m:t>j</m:t>
              </m:r>
            </m:oMath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Vector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O</m:t>
                  </m:r>
                </m:e>
                <m:sub>
                  <m:r>
                    <m:rPr>
                      <m:nor/>
                      <m:sty m:val="p"/>
                    </m:rPr>
                    <m:t>observability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Wiener state observability space dimension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Vector Space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Physical instruction write-back hard control authority space dimension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Vector Space</w:t>
            </w:r>
          </w:p>
        </w:tc>
      </w:tr>
    </w:tbl>
    <w:bookmarkEnd w:id="16"/>
    <w:bookmarkStart w:id="17" w:name="X46f25ba94499d93a683b167404bd78a65a8c062"/>
    <w:p>
      <w:pPr>
        <w:pStyle w:val="Heading3"/>
        <w:spacing w:before="160" w:after="60"/>
      </w:pPr>
      <w:r>
        <w:t xml:space="preserve">3.1 Five-Dimensional Orthogonal Topological Manifold</w:t>
      </w:r>
    </w:p>
    <w:p>
      <w:pPr>
        <w:pStyle w:val="FirstParagraph"/>
        <w:spacing w:line="300" w:lineRule="auto" w:after="80"/>
      </w:pPr>
      <w:r>
        <w:t xml:space="preserve">The system state space is defined as a five-dimensional topological manifold:</w:t>
      </w:r>
    </w:p>
    <w:p>
      <w:pPr>
        <w:pStyle w:val="BodyText"/>
        <w:spacing w:line="300" w:lineRule="auto" w:after="8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  <w:spacing w:line="300" w:lineRule="auto" w:after="80"/>
      </w:pPr>
      <w:r>
        <w:t xml:space="preserve">At any given time slice</w:t>
      </w:r>
      <w:r>
        <w:t xml:space="preserve"> </w:t>
      </w:r>
      <m:oMath>
        <m:r>
          <m:t>t</m:t>
        </m:r>
      </m:oMath>
      <w:r>
        <w:t xml:space="preserve">, the five dimensions can be parameterized independently and coupled deterministically through tensor state transition equations.</w:t>
      </w:r>
    </w:p>
    <w:bookmarkEnd w:id="17"/>
    <w:bookmarkStart w:id="21" w:name="eight-physical-axioms-governing-ocgs"/>
    <w:p>
      <w:pPr>
        <w:pStyle w:val="Heading3"/>
        <w:spacing w:before="160" w:after="60"/>
      </w:pPr>
      <w:r>
        <w:t xml:space="preserve">3.2 Eight Physical Axioms Governing OCGS</w:t>
      </w:r>
    </w:p>
    <w:p>
      <w:pPr>
        <w:pStyle w:val="CaptionedFigure"/>
        <w:spacing w:line="300" w:lineRule="auto" w:after="80"/>
      </w:pPr>
      <w:r>
        <w:drawing>
          <wp:inline>
            <wp:extent cx="5334000" cy="7184696"/>
            <wp:effectExtent b="0" l="0" r="0" t="0"/>
            <wp:docPr descr="Logic Chain of Value Chain Physics Eight-Axiom System" title="" id="19" name="Picture"/>
            <a:graphic>
              <a:graphicData uri="http://schemas.openxmlformats.org/drawingml/2006/picture">
                <pic:pic>
                  <pic:nvPicPr>
                    <pic:cNvPr descr="vcp_axioms_logic_chain_e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8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00" w:lineRule="auto" w:after="80"/>
      </w:pPr>
      <w:r>
        <w:t xml:space="preserve">Logic Chain of Value Chain Physics Eight-Axiom System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3.1 (Teleology: Effective Work Maximization)</w:t>
      </w:r>
      <w:r>
        <w:t xml:space="preserve">: The system operational direction must prioritize maximizing global anti-entropy effective work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and eliminating internal organizational friction heat to achieve global governance.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3.2 (Ontology: Channel Capacity and Silicon Compensation)</w:t>
      </w:r>
      <w:r>
        <w:t xml:space="preserve">: Recognize that the fundamental obstacle is Non-IID coupling. Human cognitive capacity is bounded by Miller’s Law (</w:t>
      </w:r>
      <m:oMath>
        <m:r>
          <m:t>7</m:t>
        </m:r>
        <m:r>
          <m:rPr>
            <m:sty m:val="p"/>
          </m:rPr>
          <m:t>±</m:t>
        </m:r>
        <m:r>
          <m:t>2</m:t>
        </m:r>
      </m:oMath>
      <w:r>
        <w:t xml:space="preserve">, Miller, 1956), far below super-factorial state complexity; high-frequency microscopic net demand resolution must be completely compensated by silicon operators.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3.3 (Methodology: Digital Dual-Helix High-Frequency Self-Healing)</w:t>
      </w:r>
      <w:r>
        <w:t xml:space="preserve">: The control medium is the Digital Dual-Helix ontology interlocking data containers and algorithm operators. Recomputation frequency must exceed environmental perturbation frequency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3.4 (Capability: Single-Brain Decision Singularity)</w:t>
      </w:r>
      <w:r>
        <w:t xml:space="preserve">: Planning logic must collapse into a single central planning engine singularity, reducing cross-departmental coordination complexity from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3.5 (Mechanism: Topological Fractal Isomorphism and Renormalization)</w:t>
      </w:r>
      <w:r>
        <w:t xml:space="preserve">: Central management maintains global quota isolation and boundary entitlement, while microscopic nodes enjoy absolute adaptive optimization within quota bounds, realizing fractal renormalized governance.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3.6 (Pathology: Wiener Boundary and Instruction Write-Back)</w:t>
      </w:r>
      <w:r>
        <w:t xml:space="preserve">: System control capability is strictly bounded by physical execution layer observability and write-back hard control authority (</w:t>
      </w:r>
      <m:oMath>
        <m:r>
          <m:rPr>
            <m:sty m:val="p"/>
          </m:rPr>
          <m:t>dim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nor/>
                <m:sty m:val="p"/>
              </m:rPr>
              <m:t>control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dim</m:t>
        </m:r>
        <m:sSub>
          <m:e>
            <m:r>
              <m:rPr>
                <m:scr m:val="script"/>
                <m:sty m:val="p"/>
              </m:rPr>
              <m:t>O</m:t>
            </m:r>
          </m:e>
          <m:sub>
            <m:r>
              <m:rPr>
                <m:nor/>
                <m:sty m:val="p"/>
              </m:rPr>
              <m:t>observability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3.7 (Dynamics: Shadow Price Resonance)</w:t>
      </w:r>
      <w:r>
        <w:t xml:space="preserve">: Management resource allocation must resonate with Lagrangian shadow prices of physical constraints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3.8 (Evolution: Meta-Cognitive Intervention and Axiom Reconstruction)</w:t>
      </w:r>
      <w:r>
        <w:t xml:space="preserve">: When external phase transitions render feasible domain 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), human meta-cognition steps into the loop to reconstruct the axiom set (</w:t>
      </w:r>
      <m:oMath>
        <m:r>
          <m:rPr>
            <m:sty m:val="p"/>
          </m:rPr>
          <m:t>Φ</m:t>
        </m:r>
        <m:r>
          <m:rPr>
            <m:sty m:val="p"/>
          </m:rPr>
          <m:t>: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5" w:name="Xe342cf92eacaf4d61888df76fbe4d75358c65c7"/>
    <w:p>
      <w:pPr>
        <w:pStyle w:val="Heading2"/>
        <w:spacing w:before="200" w:after="80"/>
      </w:pPr>
      <w:r>
        <w:t xml:space="preserve">4. Computability Lemma Chain and Theorem Proof for Non-IID Giant Systems</w:t>
      </w:r>
    </w:p>
    <w:bookmarkStart w:id="23" w:name="lemma-chain-derivation"/>
    <w:p>
      <w:pPr>
        <w:pStyle w:val="Heading3"/>
        <w:spacing w:before="160" w:after="60"/>
      </w:pPr>
      <w:r>
        <w:t xml:space="preserve">4.1 Lemma Chain Derivation</w:t>
      </w:r>
    </w:p>
    <w:p>
      <w:pPr>
        <w:pStyle w:val="Compact"/>
        <w:numPr>
          <w:ilvl w:val="0"/>
          <w:numId w:val="1002"/>
        </w:numPr>
        <w:spacing w:line="300" w:lineRule="auto" w:after="80"/>
      </w:pPr>
      <w:r>
        <w:rPr>
          <w:b/>
          <w:bCs/>
        </w:rPr>
        <w:t xml:space="preserve">Lemma 1 (Non-IID Non-Decomposability Lemma)</w:t>
      </w:r>
      <w:r>
        <w:t xml:space="preserve">: Under Non-IID conditions, joint probability satisfies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Strong topological coupling invalidates Bellman’s Principle of Optimality and deprives Divide-and-Conquer and Dynamic Programming of dimension reduction premises, triggering super-factorial state-space explosion.</w:t>
      </w:r>
    </w:p>
    <w:p>
      <w:pPr>
        <w:pStyle w:val="Compact"/>
        <w:numPr>
          <w:ilvl w:val="0"/>
          <w:numId w:val="1002"/>
        </w:numPr>
        <w:spacing w:line="300" w:lineRule="auto" w:after="80"/>
      </w:pPr>
      <w:r>
        <w:rPr>
          <w:b/>
          <w:bCs/>
        </w:rPr>
        <w:t xml:space="preserve">Lemma 2 (Carbon-Based Channel Capacity Deficiency Lemma)</w:t>
      </w:r>
      <w:r>
        <w:t xml:space="preserve">: Carbon-based human working memory is constrained by Miller’s constant</w:t>
      </w:r>
      <w:r>
        <w:t xml:space="preserve"> </w:t>
      </w:r>
      <m:oMath>
        <m:r>
          <m:t>7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(Miller, 1956). Facing state spaces exceeding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dimensions, human intervention introduces cognitive bias and lag; high-frequency microscopic resolution must be compensated by silicon operators.</w:t>
      </w:r>
    </w:p>
    <w:p>
      <w:pPr>
        <w:pStyle w:val="Compact"/>
        <w:numPr>
          <w:ilvl w:val="0"/>
          <w:numId w:val="1002"/>
        </w:numPr>
        <w:spacing w:line="300" w:lineRule="auto" w:after="80"/>
      </w:pPr>
      <w:r>
        <w:rPr>
          <w:b/>
          <w:bCs/>
        </w:rPr>
        <w:t xml:space="preserve">Lemma 3 (Single-Brain Decision Convergence and Silicon Dual-Helix Compensation Lemma)</w:t>
      </w:r>
      <w:r>
        <w:t xml:space="preserve">: Cross-departmental</w:t>
      </w:r>
      <w:r>
        <w:t xml:space="preserve"> </w:t>
      </w:r>
      <m:oMath>
        <m:r>
          <m:t>K</m:t>
        </m:r>
      </m:oMath>
      <w:r>
        <w:t xml:space="preserve">-agent negotiation game complexity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Collapsing decision control into a central solver operator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(single-brain singularity) reduces negotiation complexity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eliminating organizational friction heat. Vertical super-factorial state space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is absorbed by the silicon dual-helix engine featuring lock-free DAG concurrency.</w:t>
      </w:r>
    </w:p>
    <w:p>
      <w:pPr>
        <w:pStyle w:val="Compact"/>
        <w:numPr>
          <w:ilvl w:val="0"/>
          <w:numId w:val="1002"/>
        </w:numPr>
        <w:spacing w:line="300" w:lineRule="auto" w:after="80"/>
      </w:pPr>
      <w:r>
        <w:rPr>
          <w:b/>
          <w:bCs/>
        </w:rPr>
        <w:t xml:space="preserve">Lemma 4 (Human-Out-of-the-Loop Long-Term Convergence Lemma)</w:t>
      </w:r>
      <w:r>
        <w:t xml:space="preserve">: Let external extreme phase transition arrivals follow a Poisson Process with rate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pert</m:t>
            </m:r>
          </m:sub>
        </m:sSub>
      </m:oMath>
      <w:r>
        <w:t xml:space="preserve">, and expert intervention duration be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resolve</m:t>
            </m:r>
          </m:sub>
        </m:sSub>
        <m:r>
          <m:rPr>
            <m:sty m:val="p"/>
          </m:rPr>
          <m:t>]</m:t>
        </m:r>
      </m:oMath>
      <w:r>
        <w:t xml:space="preserve">. When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</m:oMath>
      <w:r>
        <w:t xml:space="preserve"> </w:t>
      </w:r>
      <w:r>
        <w:t xml:space="preserve">and feasible domain is non-empty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), silicon operators achieve autonomous closed-loop resolution; meta-cognitive operator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triggered only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 Long-term average intervention rate satisfies:</w:t>
      </w:r>
    </w:p>
    <w:p>
      <w:pPr>
        <w:pStyle w:val="FirstParagraph"/>
        <w:spacing w:line="300" w:lineRule="auto" w:after="80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intervention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pert</m:t>
              </m:r>
            </m:sub>
          </m:sSub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resolve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ϵ</m:t>
          </m:r>
        </m:oMath>
      </m:oMathPara>
    </w:p>
    <w:p>
      <w:pPr>
        <w:pStyle w:val="FirstParagraph"/>
        <w:spacing w:line="300" w:lineRule="auto" w:after="80"/>
      </w:pPr>
      <w:r>
        <w:t xml:space="preserve">If and only if phase transitions are rare 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pert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 or meta-cognitive resolution is efficient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resolve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→</m:t>
        </m:r>
        <m:r>
          <m:t>0</m:t>
        </m:r>
      </m:oMath>
      <w:r>
        <w:t xml:space="preserve">), the normal state Human-Out-of-the-Loop assumption strictly holds.</w:t>
      </w:r>
    </w:p>
    <w:bookmarkEnd w:id="23"/>
    <w:bookmarkStart w:id="24" w:name="core-theorem-proof-and-corollary"/>
    <w:p>
      <w:pPr>
        <w:pStyle w:val="Heading3"/>
        <w:spacing w:before="160" w:after="60"/>
      </w:pPr>
      <w:r>
        <w:t xml:space="preserve">4.2 Core Theorem Proof and Corollary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Theorem 1 (Banach Fixed-Point Convergence Theorem for Non-IID Complex Giant Systems)</w:t>
      </w:r>
      <w:r>
        <w:t xml:space="preserve">:</w:t>
      </w:r>
      <w:r>
        <w:br/>
      </w:r>
      <w:r>
        <w:t xml:space="preserve">On the Non-IID manifold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satisfying Axioms 3.1–3.8 and Lemmas 1–4, given global scalar objective function:</w:t>
      </w:r>
    </w:p>
    <w:p>
      <w:pPr>
        <w:pStyle w:val="BodyText"/>
        <w:spacing w:line="300" w:lineRule="auto" w:after="80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target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>
                          <m:sty m:val="bi"/>
                        </m:rPr>
                        <m:t>Q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>
                          <m:sty m:val="bi"/>
                        </m:rP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  <w:spacing w:line="300" w:lineRule="auto" w:after="80"/>
      </w:pPr>
      <w:r>
        <w:t xml:space="preserve">The closed-loop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</m:oMath>
      <w:r>
        <w:t xml:space="preserve"> </w:t>
      </w:r>
      <w:r>
        <w:t xml:space="preserve">fixes high-dimensional discrete allocation variables via DAG topology-locked pruning mapping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non-convex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within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time window (where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BOM nodes,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bottleneck constraints, and discrete locking executes in parallel via lock-free bitsets and SIMD vectorization with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overhead), mapping the non-convex domain into a locally strongly convex hyperplane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 The hyperplane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is explicitly defined by algebraic truncation constraints (quota upper bounds, timing fences, material kitting boundaries) of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</m:oMath>
      <w:r>
        <w:t xml:space="preserve">, forming a</w:t>
      </w:r>
      <w:r>
        <w:t xml:space="preserve"> </w:t>
      </w:r>
      <w:r>
        <w:rPr>
          <w:b/>
          <w:bCs/>
        </w:rPr>
        <w:t xml:space="preserve">closed convex subset</w:t>
      </w:r>
      <w:r>
        <w:t xml:space="preserve"> </w:t>
      </w:r>
      <w:r>
        <w:t xml:space="preserve">in finite-dimensional Euclidean space; hence, the normed space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constitutes a complete Banach space.</w:t>
      </w:r>
    </w:p>
    <w:p>
      <w:pPr>
        <w:pStyle w:val="BodyText"/>
        <w:spacing w:line="300" w:lineRule="auto" w:after="80"/>
      </w:pPr>
      <w:r>
        <w:t xml:space="preserve">Within time window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, if external phase transitions are rare 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pert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 or meta-cognitive resolution is instantaneous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resolve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→</m:t>
        </m:r>
        <m:r>
          <m:t>0</m:t>
        </m:r>
      </m:oMath>
      <w:r>
        <w:t xml:space="preserve">), and feasible domain is non-empty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), when sampling interval satisfies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∥</m:t>
            </m:r>
            <m:r>
              <m:rPr>
                <m:sty m:val="bi"/>
              </m:rPr>
              <m:t>Q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∥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∥</m:t>
            </m:r>
          </m:num>
          <m:den>
            <m:r>
              <m:t>γ</m:t>
            </m:r>
          </m:den>
        </m:f>
      </m:oMath>
      <w:r>
        <w:t xml:space="preserve">, the gradient descent step does not exceed the algebraic boundary of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 The iterative closed-loop operator</w:t>
      </w:r>
      <w:r>
        <w:t xml:space="preserve"> </w:t>
      </w:r>
      <m:oMath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proj</m:t>
            </m:r>
          </m:sub>
        </m:sSub>
        <m:r>
          <m:rPr>
            <m:sty m:val="p"/>
          </m:rPr>
          <m:t>∇</m:t>
        </m:r>
        <m:r>
          <m:t>J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constitutes a strict self-mapping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 Its contraction constant is analytically determined by:</w:t>
      </w:r>
    </w:p>
    <w:p>
      <w:pPr>
        <w:pStyle w:val="BodyText"/>
        <w:spacing w:line="300" w:lineRule="auto" w:after="8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300" w:lineRule="auto" w:after="80"/>
      </w:pPr>
      <w:r>
        <w:t xml:space="preserve">where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i"/>
          </m:rPr>
          <m:t>Q</m:t>
        </m:r>
        <m:r>
          <m:rPr>
            <m:sty m:val="p"/>
          </m:rPr>
          <m:t>∥</m:t>
        </m:r>
        <m:r>
          <m:rPr>
            <m:sty m:val="p"/>
          </m:rPr>
          <m:t>+</m:t>
        </m:r>
        <m:r>
          <m:rPr>
            <m:sty m:val="p"/>
          </m:rPr>
          <m:t>∥</m:t>
        </m:r>
        <m:r>
          <m:rPr>
            <m:sty m:val="bi"/>
          </m:rPr>
          <m:t>R</m:t>
        </m:r>
        <m:r>
          <m:rPr>
            <m:sty m:val="p"/>
          </m:rPr>
          <m:t>∥</m:t>
        </m:r>
      </m:oMath>
      <w:r>
        <w:t xml:space="preserve"> </w:t>
      </w:r>
      <w:r>
        <w:t xml:space="preserve">is the Lipschitz constant of quadratic objective gradient</w:t>
      </w:r>
      <w:r>
        <w:t xml:space="preserve"> </w:t>
      </w:r>
      <m:oMath>
        <m:r>
          <m:rPr>
            <m:sty m:val="p"/>
          </m:rPr>
          <m:t>∇</m:t>
        </m:r>
        <m:r>
          <m:t>J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Q</m:t>
        </m:r>
        <m:r>
          <m:rPr>
            <m:sty m:val="p"/>
          </m:rPr>
          <m:t>,</m:t>
        </m:r>
        <m:r>
          <m:rPr>
            <m:sty m:val="bi"/>
          </m:rPr>
          <m:t>R</m:t>
        </m:r>
      </m:oMath>
      <w:r>
        <w:t xml:space="preserve"> </w:t>
      </w:r>
      <w:r>
        <w:t xml:space="preserve">are symmetric positive definite matrices,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</m:oMath>
      <w:r>
        <w:t xml:space="preserve"> </w:t>
      </w:r>
      <w:r>
        <w:t xml:space="preserve">is spectral norm), and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free energy dissipation rate. By the</w:t>
      </w:r>
      <w:r>
        <w:t xml:space="preserve"> </w:t>
      </w:r>
      <w:r>
        <w:rPr>
          <w:b/>
          <w:bCs/>
        </w:rPr>
        <w:t xml:space="preserve">Banach Fixed-Point Theorem</w:t>
      </w:r>
      <w:r>
        <w:t xml:space="preserve">, there exists a unique</w:t>
      </w:r>
      <w:r>
        <w:t xml:space="preserve"> </w:t>
      </w:r>
      <w:r>
        <w:rPr>
          <w:b/>
          <w:bCs/>
        </w:rPr>
        <w:t xml:space="preserve">self-consistent structural fixed point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driving variational free energy minimization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variational posterior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convergence to true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∣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t xml:space="preserve">, and KL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∣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 achieving autonomous control. When extreme phase transitions yield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the system degenerates to Human-on-the-Loop mode, and Theorem 1 convergence relaxes to local convergence within inter-phase-transition intervals.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Proof Sketch</w:t>
      </w:r>
      <w:r>
        <w:t xml:space="preserve">:</w:t>
      </w:r>
      <w:r>
        <w:br/>
      </w:r>
      <w:r>
        <w:t xml:space="preserve">1. By Axiom 3.3 and Lemma 3,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</m:oMath>
      <w:r>
        <w:t xml:space="preserve"> </w:t>
      </w:r>
      <w:r>
        <w:t xml:space="preserve">refreshes at high frequency via the silicon dual-helix engine. Variational free energy upper bound is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∣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t xml:space="preserve">. Within interval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log marginal likelihood</w:t>
      </w:r>
      <w:r>
        <w:t xml:space="preserve"> </w:t>
      </w:r>
      <m:oMath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static; minimizing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equivalent to minimizing KL divergence between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∣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 By Lemma 1, the high-dimensional phase space is non-convex.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</m:oMath>
      <w:r>
        <w:t xml:space="preserve"> </w:t>
      </w:r>
      <w:r>
        <w:t xml:space="preserve">invokes pruning mapping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non-convex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via DAG topological sorting within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complexity, isolating closed convex hyperplane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</w:t>
      </w:r>
      <w:r>
        <w:t xml:space="preserve"> </w:t>
      </w:r>
      <w:r>
        <w:t xml:space="preserve">3. Within closed convex hyperplane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, the digital dual-helix structure defines complete normed Banach space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equipped with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S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∥</m:t>
        </m:r>
        <m:r>
          <m:rPr>
            <m:sty m:val="bi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.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</m:oMath>
      <w:r>
        <w:t xml:space="preserve"> </w:t>
      </w:r>
      <w:r>
        <w:t xml:space="preserve">satisfies contraction condition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</m:oMath>
      <w:r>
        <w:t xml:space="preserve"> </w:t>
      </w:r>
      <w:r>
        <w:t xml:space="preserve">with contraction constant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γ</m:t>
            </m:r>
            <m:r>
              <m:rPr>
                <m:sty m:val="p"/>
              </m:rPr>
              <m:t>Δ</m:t>
            </m:r>
            <m:r>
              <m:t>t</m:t>
            </m:r>
          </m:num>
          <m:den>
            <m:r>
              <m:rPr>
                <m:sty m:val="p"/>
              </m:rPr>
              <m:t>∥</m:t>
            </m:r>
            <m:r>
              <m:rPr>
                <m:sty m:val="bi"/>
              </m:rPr>
              <m:t>Q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∥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∥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4. By Banach Fixed-Point Theorem, there exists a unique structural fixed point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representing dynamic structural equilibrium between data and algorithm. Shadow price vector</w:t>
      </w:r>
      <w:r>
        <w:t xml:space="preserve"> </w:t>
      </w:r>
      <m:oMath>
        <m:r>
          <m:rPr>
            <m:sty m:val="bi"/>
          </m:rPr>
          <m:t>λ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m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forms negative descent gradient via projection operator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proj</m:t>
            </m:r>
          </m:sub>
        </m:sSub>
        <m:r>
          <m:rPr>
            <m:sty m:val="bi"/>
          </m:rP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J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5. Under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</m:oMath>
      <w:r>
        <w:t xml:space="preserve">, variational free energy satisfies gradient flow dissipation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cr m:val="script"/>
                <m:sty m:val="p"/>
              </m:rPr>
              <m:t>F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rPr>
            <m:scr m:val="script"/>
            <m:sty m:val="p"/>
          </m:rP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). By Lemma 4, phase transitions are rare Poisson events; during normal states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system trajectory monotonically converges to structural fixed point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free energy minimum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corresponding to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∥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 Q.E.D.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Corollary 1.1 (Strong Local Optimum Physical Satisficing Solution)</w:t>
      </w:r>
      <w:r>
        <w:t xml:space="preserve">: In high-dimensional non-convex integer spaces, global optimum is NP-hard and incomputable under real-time constraints. Theorem 1 proves Banach space convergence to structural fixed point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guaranteeing a</w:t>
      </w:r>
      <w:r>
        <w:t xml:space="preserve"> </w:t>
      </w:r>
      <w:r>
        <w:rPr>
          <w:b/>
          <w:bCs/>
        </w:rPr>
        <w:t xml:space="preserve">Strong Local Optimum</w:t>
      </w:r>
      <w:r>
        <w:t xml:space="preserve"> </w:t>
      </w:r>
      <w:r>
        <w:t xml:space="preserve">within the pruned convex domain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</m:oMath>
      <w:r>
        <w:t xml:space="preserve">, serving as an engineering-physically acceptable satisficing solution.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0" w:name="Xccc24588c1c80517dfcb535ed3874d5496146ac"/>
    <w:p>
      <w:pPr>
        <w:pStyle w:val="Heading2"/>
        <w:spacing w:before="200" w:after="80"/>
      </w:pPr>
      <w:r>
        <w:t xml:space="preserve">5. Industrial Physical Validation: Lenovo IPS System and Proof of OCGS</w:t>
      </w:r>
      <w:r>
        <w:t xml:space="preserve"> </w:t>
      </w:r>
      <w:r>
        <w:t xml:space="preserve">“Computability and Executability”</w:t>
      </w:r>
    </w:p>
    <w:p>
      <w:pPr>
        <w:pStyle w:val="FirstParagraph"/>
        <w:spacing w:line="300" w:lineRule="auto" w:after="80"/>
      </w:pPr>
      <w:r>
        <w:t xml:space="preserve">To rigorously prove that Qian Xuesen’s Open Complex Giant System (OCGS) possesses concrete computability and executability in industrial reality, this paper presents long-term physical operational validation from Lenovo’s Global Integrated Planning System (IPS) and LCFC (Hefei, WEF Lighthouse Factory).</w:t>
      </w:r>
    </w:p>
    <w:bookmarkStart w:id="26" w:name="physical-experimental-environment-scale"/>
    <w:p>
      <w:pPr>
        <w:pStyle w:val="Heading3"/>
        <w:spacing w:before="160" w:after="60"/>
      </w:pPr>
      <w:r>
        <w:t xml:space="preserve">5.1 Physical Experimental Environment Scale</w:t>
      </w:r>
    </w:p>
    <w:p>
      <w:pPr>
        <w:pStyle w:val="Compact"/>
        <w:numPr>
          <w:ilvl w:val="0"/>
          <w:numId w:val="1003"/>
        </w:numPr>
        <w:spacing w:line="300" w:lineRule="auto" w:after="80"/>
      </w:pPr>
      <w:r>
        <w:rPr>
          <w:b/>
          <w:bCs/>
        </w:rPr>
        <w:t xml:space="preserve">Node and Topology Scale</w:t>
      </w:r>
      <w:r>
        <w:t xml:space="preserve">: Covers 5 major self-owned manufacturing bases globally (Beijing, Shanghai, Chengdu, Shenzhen, Mexico) and ODM outsourced networks;</w:t>
      </w:r>
    </w:p>
    <w:p>
      <w:pPr>
        <w:pStyle w:val="Compact"/>
        <w:numPr>
          <w:ilvl w:val="0"/>
          <w:numId w:val="1003"/>
        </w:numPr>
        <w:spacing w:line="300" w:lineRule="auto" w:after="80"/>
      </w:pPr>
      <w:r>
        <w:rPr>
          <w:b/>
          <w:bCs/>
        </w:rPr>
        <w:t xml:space="preserve">Complexity Dimension</w:t>
      </w:r>
      <w:r>
        <w:t xml:space="preserve">: Daily resolves</w:t>
      </w:r>
      <w:r>
        <w:t xml:space="preserve"> </w:t>
      </w:r>
      <w:r>
        <w:rPr>
          <w:b/>
          <w:bCs/>
        </w:rPr>
        <w:t xml:space="preserve">50,000 to 100,000</w:t>
      </w:r>
      <w:r>
        <w:t xml:space="preserve"> </w:t>
      </w:r>
      <w:r>
        <w:t xml:space="preserve">discrete backlog orders, involving</w:t>
      </w:r>
      <w:r>
        <w:t xml:space="preserve"> </w:t>
      </w:r>
      <w:r>
        <w:rPr>
          <w:b/>
          <w:bCs/>
        </w:rPr>
        <w:t xml:space="preserve">2,000,000 SKU-Site nodes</w:t>
      </w:r>
      <w:r>
        <w:t xml:space="preserve">, maximum BOM depth of</w:t>
      </w:r>
      <w:r>
        <w:t xml:space="preserve"> </w:t>
      </w:r>
      <w:r>
        <w:rPr>
          <w:b/>
          <w:bCs/>
        </w:rPr>
        <w:t xml:space="preserve">20 levels</w:t>
      </w:r>
      <w:r>
        <w:t xml:space="preserve">, and over</w:t>
      </w:r>
      <w:r>
        <w:t xml:space="preserve"> </w:t>
      </w:r>
      <w:r>
        <w:rPr>
          <w:b/>
          <w:bCs/>
        </w:rPr>
        <w:t xml:space="preserve">150,000 physical constraints</w:t>
      </w:r>
      <w:r>
        <w:t xml:space="preserve">.</w:t>
      </w:r>
    </w:p>
    <w:bookmarkEnd w:id="26"/>
    <w:bookmarkStart w:id="27" w:name="Xddd3e47dca87c016541cbc5c057e95eea84f9e9"/>
    <w:p>
      <w:pPr>
        <w:pStyle w:val="Heading3"/>
        <w:spacing w:before="160" w:after="60"/>
      </w:pPr>
      <w:r>
        <w:t xml:space="preserve">5.2 Six-Step Rigid Physical Closed-Loop Control Architecture</w:t>
      </w:r>
    </w:p>
    <w:p>
      <w:pPr>
        <w:pStyle w:val="FirstParagraph"/>
        <w:spacing w:line="300" w:lineRule="auto" w:after="80"/>
      </w:pPr>
      <w:r>
        <w:t xml:space="preserve">The system operates across three interlocking modules—</w:t>
      </w:r>
      <w:r>
        <w:t xml:space="preserve">“IPC Core Planning Layer,”</w:t>
      </w:r>
      <w:r>
        <w:t xml:space="preserve"> </w:t>
      </w:r>
      <w:r>
        <w:t xml:space="preserve">“Scheduling &amp; Dispatching Layer,”</w:t>
      </w:r>
      <w:r>
        <w:t xml:space="preserve"> </w:t>
      </w:r>
      <w:r>
        <w:t xml:space="preserve">and</w:t>
      </w:r>
      <w:r>
        <w:t xml:space="preserve"> </w:t>
      </w:r>
      <w:r>
        <w:t xml:space="preserve">“Material Pulling Layer”</w:t>
      </w:r>
      <w:r>
        <w:t xml:space="preserve">—forming a complete six-step rigid physical closed-loop control architecture.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Table 2: Six-Step Rigid Physical Closed-Loop Control Architecture and Engineering Logic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Closed-Loop Phase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Control Level / Module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Physical Control Action and Engineering Logic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1. Real-Time ATP/CTP Delivery Update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IPC Core Planning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Dynamically computes order committed delivery dates and net demand.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2. Production Planning Execution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IPC Core Planning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Solves finite-capacity daily finite execution plans.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3. Work Order Dispatching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Scheduling &amp; Dispatching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Releases production work orders after material code locking.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4. Micro-Scheduling &amp; Dispatching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Scheduling &amp; Dispatching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Executes machine-level fine sorting and dynamic scheduling.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5. Material Kitting &amp; Line Pulling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Material Pulling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High-frequency kitting pulls materials to line-side warehouses and workstations.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6. Warehouse Shipping Notice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Material Pulling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Drives logistics delivery and finished goods warehouse shipping.</w:t>
            </w:r>
          </w:p>
        </w:tc>
      </w:tr>
    </w:tbl>
    <w:p>
      <w:pPr>
        <w:pStyle w:val="BodyText"/>
        <w:spacing w:line="300" w:lineRule="auto" w:after="80"/>
      </w:pPr>
      <w:r>
        <w:t xml:space="preserve">Microscopic abnormal perturbations trigger deviation coherent cancellation within the closed loop, generating immutable causal residual chains protected by distributed transaction logs and hash verification.</w:t>
      </w:r>
    </w:p>
    <w:bookmarkEnd w:id="27"/>
    <w:bookmarkStart w:id="28" w:name="X679fa8a479f28228e5b66f26e28528410fd782c"/>
    <w:p>
      <w:pPr>
        <w:pStyle w:val="Heading3"/>
        <w:spacing w:before="160" w:after="60"/>
      </w:pPr>
      <w:r>
        <w:t xml:space="preserve">5.3 Official Verification Efficacy and Statistical Testing</w:t>
      </w:r>
    </w:p>
    <w:p>
      <w:pPr>
        <w:pStyle w:val="FirstParagraph"/>
        <w:spacing w:line="300" w:lineRule="auto" w:after="80"/>
      </w:pPr>
      <w:r>
        <w:t xml:space="preserve">Based on Lenovo official disclosures and continuous 18-month tracking data statistical testing (2024Q3–2026Q1, sample size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monthly data; control group is 12-month baseline data prior to deployment; daily backlog order volume, BOM depth distribution, and supplier node scale remained in the same order of magnitude with</w:t>
      </w:r>
      <w:r>
        <w:t xml:space="preserve"> </w:t>
      </w:r>
      <m:oMath>
        <m:r>
          <m:rPr>
            <m:sty m:val="p"/>
          </m:rPr>
          <m:t>&lt;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mean difference, Welch’s</w:t>
      </w:r>
      <w:r>
        <w:t xml:space="preserve"> </w:t>
      </w:r>
      <m:oMath>
        <m:r>
          <m:t>t</m:t>
        </m:r>
      </m:oMath>
      <w:r>
        <w:t xml:space="preserve">-test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0.1</m:t>
        </m:r>
      </m:oMath>
      <w:r>
        <w:t xml:space="preserve">, ruling out scale effect):</w:t>
      </w:r>
    </w:p>
    <w:p>
      <w:pPr>
        <w:pStyle w:val="Compact"/>
        <w:numPr>
          <w:ilvl w:val="0"/>
          <w:numId w:val="1004"/>
        </w:numPr>
        <w:spacing w:line="300" w:lineRule="auto" w:after="80"/>
      </w:pPr>
      <w:r>
        <w:rPr>
          <w:b/>
          <w:bCs/>
        </w:rPr>
        <w:t xml:space="preserve">Autonomous Decision Closed-Loop Ratio (Core Physical Proof)</w:t>
      </w:r>
      <w:r>
        <w:t xml:space="preserve">: Achieved a silicon-based autonomous decision-making ratio of</w:t>
      </w:r>
      <w:r>
        <w:t xml:space="preserve"> </w:t>
      </w:r>
      <w:r>
        <w:rPr>
          <w:b/>
          <w:bCs/>
        </w:rPr>
        <w:t xml:space="preserve">over 95.0% for rigid closed-loop automation</w:t>
      </w:r>
      <w:r>
        <w:t xml:space="preserve">. During the 18-month statistical window, extreme phase transition events were triggered only 3 times (with an average expert meta-cognitive reconstruction duration of 14.2 minutes), realizing zero manual order modifications during extended steady-state windows;</w:t>
      </w:r>
    </w:p>
    <w:p>
      <w:pPr>
        <w:pStyle w:val="Compact"/>
        <w:numPr>
          <w:ilvl w:val="0"/>
          <w:numId w:val="1004"/>
        </w:numPr>
        <w:spacing w:line="300" w:lineRule="auto" w:after="80"/>
      </w:pPr>
      <w:r>
        <w:rPr>
          <w:b/>
          <w:bCs/>
        </w:rPr>
        <w:t xml:space="preserve">48-Hour Delivery Commitment Response Rate (Derived Natural Outcome)</w:t>
      </w:r>
      <w:r>
        <w:t xml:space="preserve">: The 48-hour order delivery commitment response rate surged from 50%–60% prior to deployment and rigidly stabilized at</w:t>
      </w:r>
      <w:r>
        <w:t xml:space="preserve"> </w:t>
      </w:r>
      <w:r>
        <w:rPr>
          <w:b/>
          <w:bCs/>
        </w:rPr>
        <w:t xml:space="preserve">over 98.0%</w:t>
      </w:r>
      <w:r>
        <w:t xml:space="preserve"> </w:t>
      </w:r>
      <w:r>
        <w:t xml:space="preserve">(95% confidence interval</w:t>
      </w:r>
      <w:r>
        <w:t xml:space="preserve"> </w:t>
      </w:r>
      <m:oMath>
        <m:r>
          <m:rPr>
            <m:sty m:val="p"/>
          </m:rPr>
          <m:t>[</m:t>
        </m:r>
        <m:r>
          <m:t>97.4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98.6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, Welch’s</w:t>
      </w:r>
      <w:r>
        <w:t xml:space="preserve"> </w:t>
      </w:r>
      <m:oMath>
        <m:r>
          <m:t>t</m:t>
        </m:r>
      </m:oMath>
      <w:r>
        <w:t xml:space="preserve">-test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with delivery accuracy reaching 95% not late and 80% not early;</w:t>
      </w:r>
    </w:p>
    <w:p>
      <w:pPr>
        <w:pStyle w:val="Compact"/>
        <w:numPr>
          <w:ilvl w:val="0"/>
          <w:numId w:val="1004"/>
        </w:numPr>
        <w:spacing w:line="300" w:lineRule="auto" w:after="80"/>
      </w:pPr>
      <w:r>
        <w:rPr>
          <w:b/>
          <w:bCs/>
        </w:rPr>
        <w:t xml:space="preserve">Asset and Capital Yields (Derived Natural Outcome)</w:t>
      </w:r>
      <w:r>
        <w:t xml:space="preserve">: Structural parts inventory decreased by</w:t>
      </w:r>
      <w:r>
        <w:t xml:space="preserve"> </w:t>
      </w:r>
      <w:r>
        <w:rPr>
          <w:b/>
          <w:bCs/>
        </w:rPr>
        <w:t xml:space="preserve">50%</w:t>
      </w:r>
      <w:r>
        <w:t xml:space="preserve">, overall inventory turnover ratio increased by</w:t>
      </w:r>
      <w:r>
        <w:t xml:space="preserve"> </w:t>
      </w:r>
      <w:r>
        <w:rPr>
          <w:b/>
          <w:bCs/>
        </w:rPr>
        <w:t xml:space="preserve">1.9x</w:t>
      </w:r>
      <w:r>
        <w:t xml:space="preserve">, directly releasing billions of RMB in liquidity across the value chain.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First-Order Physical Causality Summary</w:t>
      </w:r>
      <w:r>
        <w:t xml:space="preserve">: Empirical validation demonstrates that the core physical achievement of IPS lies in establishing a</w:t>
      </w:r>
      <w:r>
        <w:t xml:space="preserve"> </w:t>
      </w:r>
      <w:r>
        <w:rPr>
          <w:b/>
          <w:bCs/>
        </w:rPr>
        <w:t xml:space="preserve">&gt;95.0% rigid autonomous closed loop across</w:t>
      </w:r>
      <w:r>
        <w:rPr>
          <w:b/>
          <w:bCs/>
        </w:rPr>
        <w:t xml:space="preserve"> </w:t>
      </w:r>
      <w:r>
        <w:rPr>
          <w:b/>
          <w:bCs/>
        </w:rPr>
        <w:t xml:space="preserve">“Compute-Solve-Execute-Feedback.”</w:t>
      </w:r>
      <w:r>
        <w:t xml:space="preserve"> </w:t>
      </w:r>
      <w:r>
        <w:t xml:space="preserve">Once high-frequency closed-loop autonomous convergence is attained, performance metrics such as 48-hour delivery commitment response rate stabilizing above 98.0% and 50% inventory reduction are</w:t>
      </w:r>
      <w:r>
        <w:t xml:space="preserve"> </w:t>
      </w:r>
      <w:r>
        <w:rPr>
          <w:b/>
          <w:bCs/>
        </w:rPr>
        <w:t xml:space="preserve">natural derived physical outcomes</w:t>
      </w:r>
      <w:r>
        <w:t xml:space="preserve"> </w:t>
      </w:r>
      <w:r>
        <w:t xml:space="preserve">resulting from maximizing anti-entropy effective work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.</w:t>
      </w:r>
    </w:p>
    <w:p>
      <w:pPr>
        <w:pStyle w:val="BodyText"/>
        <w:spacing w:line="300" w:lineRule="auto" w:after="80"/>
      </w:pPr>
      <w:r>
        <w:t xml:space="preserve">This empirical evidence fully proves that IPS, practicing the Eight Axioms of Value Chain Physics, successfully solves the</w:t>
      </w:r>
      <w:r>
        <w:t xml:space="preserve"> </w:t>
      </w:r>
      <w:r>
        <w:t xml:space="preserve">“Human-Out-of-the-Loop computability and executability”</w:t>
      </w:r>
      <w:r>
        <w:t xml:space="preserve"> </w:t>
      </w:r>
      <w:r>
        <w:t xml:space="preserve">challenge of Qian Xuesen’s Open Complex Giant System in industrial entities.</w:t>
      </w:r>
    </w:p>
    <w:bookmarkEnd w:id="28"/>
    <w:bookmarkStart w:id="29" w:name="X7e136d7e51600a1d6c3745269f0332206864b0d"/>
    <w:p>
      <w:pPr>
        <w:pStyle w:val="Heading3"/>
        <w:spacing w:before="160" w:after="60"/>
      </w:pPr>
      <w:r>
        <w:t xml:space="preserve">5.4 Explicit Physical Mapping Between Empirical Data and Theoretical Derivations</w:t>
      </w:r>
    </w:p>
    <w:p>
      <w:pPr>
        <w:pStyle w:val="FirstParagraph"/>
        <w:spacing w:line="300" w:lineRule="auto" w:after="80"/>
      </w:pPr>
      <w:r>
        <w:t xml:space="preserve">To meet rigorous academic peer review standards, Table 3 establishes explicit alignment between Lenovo IPS 18-month empirical data and Section 4 theoretical derivations and theorems: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Table 3: Explicit Mapping Alignment Between Lenovo IPS Physical Empirical Data and Theoretical Derivations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Theoretical Derivation / Theorem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Explicit Empirical Indicator and Data Observation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Physical Meaning and Verification Conclusion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Lemma 4 Verification</w:t>
            </w:r>
            <w:r>
              <w:rPr>
                <w:color w:val="222222"/>
              </w:rPr>
              <w:t xml:space="preserve">(Human-Out-of-the-Loop Intervention Limit)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Extreme phase transitions triggered only 3 times in 18 months (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pert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0.167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month</m:t>
              </m:r>
            </m:oMath>
            <w:r>
              <w:rPr>
                <w:color w:val="222222"/>
              </w:rPr>
              <w:t xml:space="preserve">), mean intervention duration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resolve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14.2</m:t>
              </m:r>
              <m:r>
                <m:rPr>
                  <m:nor/>
                  <m:sty m:val="p"/>
                </m:rPr>
                <m:t> min</m:t>
              </m:r>
              <m:r>
                <m:rPr>
                  <m:sty m:val="p"/>
                </m:rPr>
                <m:t>=</m:t>
              </m:r>
              <m:r>
                <m:t>0.237</m:t>
              </m:r>
              <m:r>
                <m:rPr>
                  <m:nor/>
                  <m:sty m:val="p"/>
                </m:rPr>
                <m:t> h</m:t>
              </m:r>
            </m:oMath>
            <w:r>
              <w:rPr>
                <w:color w:val="222222"/>
              </w:rPr>
              <w:t xml:space="preserve">; long-term average intervention rate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pert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resolve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0.04</m:t>
              </m:r>
              <m:r>
                <m:rPr>
                  <m:nor/>
                  <m:sty m:val="p"/>
                </m:rPr>
                <m:t> h/month</m:t>
              </m:r>
              <m:r>
                <m:rPr>
                  <m:sty m:val="p"/>
                </m:rPr>
                <m:t>≈</m:t>
              </m:r>
              <m:r>
                <m:t>0.0055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≪</m:t>
              </m:r>
              <m:r>
                <m:t>ϵ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rPr>
                <w:color w:val="222222"/>
              </w:rPr>
              <w:t xml:space="preserve">.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Verifies phase transitions are rare Poisson events, normal feasible domain is non-empty (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∅</m:t>
              </m:r>
            </m:oMath>
            <w:r>
              <w:rPr>
                <w:color w:val="222222"/>
              </w:rPr>
              <w:t xml:space="preserve">), strictly confirming the Human-Out-of-the-Loop autonomous closed-loop assumption in physical entities.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Theorem 1 Verification</w:t>
            </w:r>
            <w:r>
              <w:rPr>
                <w:color w:val="222222"/>
              </w:rPr>
              <w:t xml:space="preserve">(Structural Fixed-Point Convergence)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Full-process</w:t>
            </w:r>
            <w:r>
              <w:rPr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 xml:space="preserve">autonomous decision-making ratio achieved over 95.0%</w:t>
            </w:r>
            <w:r>
              <w:rPr>
                <w:color w:val="222222"/>
              </w:rPr>
              <w:t xml:space="preserve">.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Verifies contraction property of operator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IPC</m:t>
                  </m:r>
                </m:sub>
              </m:sSub>
            </m:oMath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color w:val="222222"/>
              </w:rPr>
              <w:t xml:space="preserve">), state trajectory monotonically converges to unique structural fixed point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color w:val="222222"/>
              </w:rPr>
              <w:t xml:space="preserve">, corresponding to free energy minimization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color w:val="222222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Corollary 1.1 Verification</w:t>
            </w:r>
            <w:r>
              <w:rPr>
                <w:color w:val="222222"/>
              </w:rPr>
              <w:t xml:space="preserve">(Strong Local Optimum Satisficing Solution)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48-hour delivery commitment response rate</w:t>
            </w:r>
            <w:r>
              <w:rPr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 xml:space="preserve">surged from 50%–60% to rigidly over 98.0%</w:t>
            </w:r>
            <w:r>
              <w:rPr>
                <w:color w:val="222222"/>
              </w:rPr>
              <w:t xml:space="preserve">, delivery accuracy 95% not late / 80% not early.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Verifies system achieves an engineering-physically acceptable strong local optimum within pruned closed convex domain</w:t>
            </w:r>
            <w:r>
              <w:rPr>
                <w:color w:val="222222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nor/>
                      <m:sty m:val="p"/>
                    </m:rPr>
                    <m:t>convex</m:t>
                  </m:r>
                </m:sub>
                <m:sup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bSup>
            </m:oMath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 xml:space="preserve">cut by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cut</m:t>
                  </m:r>
                </m:sub>
              </m:sSub>
            </m:oMath>
            <w:r>
              <w:rPr>
                <w:color w:val="222222"/>
              </w:rPr>
              <w:t xml:space="preserve">.</w:t>
            </w:r>
          </w:p>
        </w:tc>
      </w:tr>
    </w:tbl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2" w:name="X6a6aeac7dd6cb1c89ee95b22492049d1c41159e"/>
    <w:p>
      <w:pPr>
        <w:pStyle w:val="Heading2"/>
        <w:spacing w:before="200" w:after="80"/>
      </w:pPr>
      <w:r>
        <w:t xml:space="preserve">6. Conclusions and Theory Falsifiability Conditions</w:t>
      </w:r>
    </w:p>
    <w:p>
      <w:pPr>
        <w:pStyle w:val="FirstParagraph"/>
        <w:spacing w:line="300" w:lineRule="auto" w:after="80"/>
      </w:pPr>
      <w:r>
        <w:t xml:space="preserve">This paper establishes Non-IID as the first principle, proposes an Eight-Axiom system and Four-Lemma computability framework, completes the formal proof of Theorem 1, and presents industrial validation for Qian Xuesen’s OCGS theory.</w:t>
      </w:r>
    </w:p>
    <w:bookmarkStart w:id="31" w:name="falsifiability-conditions"/>
    <w:p>
      <w:pPr>
        <w:pStyle w:val="Heading3"/>
        <w:spacing w:before="160" w:after="60"/>
      </w:pPr>
      <w:r>
        <w:t xml:space="preserve">6.1 Falsifiability Conditions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Special Statement</w:t>
      </w:r>
      <w:r>
        <w:t xml:space="preserve">: These falsifiability conditions aim to verify the specific physical proposition that</w:t>
      </w:r>
      <w:r>
        <w:t xml:space="preserve"> </w:t>
      </w:r>
      <w:r>
        <w:t xml:space="preserve">“Value Chain Physics is computable and executable in ultra-large-scale discrete manufacturing,”</w:t>
      </w:r>
      <w:r>
        <w:t xml:space="preserve"> </w:t>
      </w:r>
      <w:r>
        <w:t xml:space="preserve">rather than falsifying the broad theoretical framework of Qian Xuesen’s Open Complex Giant Systems.</w:t>
      </w:r>
      <w:r>
        <w:t xml:space="preserve"> </w:t>
      </w:r>
      <w:r>
        <w:t xml:space="preserve">1. If delivery commitment response rate falls below 90% for 3 consecutive months under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</m:oMath>
      <w:r>
        <w:t xml:space="preserve">;</w:t>
      </w:r>
      <w:r>
        <w:t xml:space="preserve"> </w:t>
      </w:r>
      <w:r>
        <w:t xml:space="preserve">2. If manual exception intervention rate exceeds 5% (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intervention</m:t>
            </m:r>
          </m:sub>
        </m:sSub>
        <m:r>
          <m:rPr>
            <m:sty m:val="p"/>
          </m:rPr>
          <m:t>&gt;</m:t>
        </m:r>
        <m:r>
          <m:t>0.05</m:t>
        </m:r>
      </m:oMath>
      <w:r>
        <w:t xml:space="preserve">) in any single month during normal operations;</w:t>
      </w:r>
      <w:r>
        <w:br/>
      </w:r>
      <w:r>
        <w:t xml:space="preserve">then the VCP computability proposition presented in this paper is falsified.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3" w:name="limitations"/>
    <w:p>
      <w:pPr>
        <w:pStyle w:val="Heading2"/>
        <w:spacing w:before="200" w:after="80"/>
      </w:pPr>
      <w:r>
        <w:t xml:space="preserve">7. Limitations</w:t>
      </w:r>
    </w:p>
    <w:p>
      <w:pPr>
        <w:pStyle w:val="Compact"/>
        <w:numPr>
          <w:ilvl w:val="0"/>
          <w:numId w:val="1005"/>
        </w:numPr>
        <w:spacing w:line="300" w:lineRule="auto" w:after="80"/>
      </w:pPr>
      <w:r>
        <w:rPr>
          <w:b/>
          <w:bCs/>
        </w:rPr>
        <w:t xml:space="preserve">Scenario Limitation</w:t>
      </w:r>
      <w:r>
        <w:t xml:space="preserve">: Validation focuses on ultra-large-scale discrete manufacturing. In continuous process manufacturing (e.g., refining, steel), microscopic perturbation frequencies are higher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process</m:t>
            </m:r>
          </m:sub>
        </m:sSub>
        <m:r>
          <m:rPr>
            <m:sty m:val="p"/>
          </m:rPr>
          <m:t>&gt;</m:t>
        </m:r>
        <m:r>
          <m:t>10</m:t>
        </m:r>
        <m:r>
          <m:rPr>
            <m:nor/>
            <m:sty m:val="p"/>
          </m:rPr>
          <m:t> Hz</m:t>
        </m:r>
      </m:oMath>
      <w:r>
        <w:t xml:space="preserve">), requiring further quantitative verification of axiom applicability and recomputation thresholds;</w:t>
      </w:r>
    </w:p>
    <w:p>
      <w:pPr>
        <w:pStyle w:val="Compact"/>
        <w:numPr>
          <w:ilvl w:val="0"/>
          <w:numId w:val="1005"/>
        </w:numPr>
        <w:spacing w:line="300" w:lineRule="auto" w:after="80"/>
      </w:pPr>
      <w:r>
        <w:rPr>
          <w:b/>
          <w:bCs/>
        </w:rPr>
        <w:t xml:space="preserve">Single-Brain Singularity Administrative Boundary</w:t>
      </w:r>
      <w:r>
        <w:t xml:space="preserve">: Single-brain decision singularity requires centralized data governance and write-back authority. Across independent legal entities, multi-tenant agency costs and organizational gaming may induce friction overhead;</w:t>
      </w:r>
    </w:p>
    <w:p>
      <w:pPr>
        <w:pStyle w:val="Compact"/>
        <w:numPr>
          <w:ilvl w:val="0"/>
          <w:numId w:val="1005"/>
        </w:numPr>
        <w:spacing w:line="300" w:lineRule="auto" w:after="80"/>
      </w:pPr>
      <w:r>
        <w:rPr>
          <w:b/>
          <w:bCs/>
        </w:rPr>
        <w:t xml:space="preserve">High-Frequency Phase Transition Degradation</w:t>
      </w:r>
      <w:r>
        <w:t xml:space="preserve">: If external phase transitions occur at excessive frequencies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</m:oMath>
      <w:r>
        <w:t xml:space="preserve">), feasible domain will frequently become 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), triggering frequent meta-cognitive operator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intervention and degenerating the normal state Human-Out-of-the-Loop assumption.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33"/>
    <w:bookmarkStart w:id="34" w:name="references"/>
    <w:p>
      <w:pPr>
        <w:pStyle w:val="Heading2"/>
        <w:spacing w:before="200" w:after="80"/>
      </w:pPr>
      <w:r>
        <w:t xml:space="preserve">References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Cao, L. (2022). Non-IID Learning: Exploring Complex Non-IID Data Relations, Coupling, and Distributions.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 44(8), 4567-4585.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Gartner. (2026).</w:t>
      </w:r>
      <w:r>
        <w:t xml:space="preserve"> </w:t>
      </w:r>
      <w:r>
        <w:rPr>
          <w:i/>
          <w:iCs/>
        </w:rPr>
        <w:t xml:space="preserve">The Gartner Supply Chain Top 25 for 2026</w:t>
      </w:r>
      <w:r>
        <w:t xml:space="preserve">. Gartner Research Report, Stamford, CT.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Hopp, W. J., &amp; Spearman, M. L. (2011).</w:t>
      </w:r>
      <w:r>
        <w:t xml:space="preserve"> </w:t>
      </w:r>
      <w:r>
        <w:rPr>
          <w:i/>
          <w:iCs/>
        </w:rPr>
        <w:t xml:space="preserve">Factory Physics</w:t>
      </w:r>
      <w:r>
        <w:t xml:space="preserve"> </w:t>
      </w:r>
      <w:r>
        <w:t xml:space="preserve">(3rd ed.). Waveland Press.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Miller, G. A. (1956). The magical number seven, plus or minus two: Some limits on our capacity for processing information.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 63(2), 81-97.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Prigogine, I. (1977). Time, structure and fluctuations.</w:t>
      </w:r>
      <w:r>
        <w:t xml:space="preserve"> </w:t>
      </w:r>
      <w:r>
        <w:rPr>
          <w:i/>
          <w:iCs/>
        </w:rPr>
        <w:t xml:space="preserve">Nobel Lecture in Chemistry</w:t>
      </w:r>
      <w:r>
        <w:t xml:space="preserve">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Qian, X., Yu, J., &amp; Dai, R. (1990). A new discipline of science—Open complex giant systems and their methodology.</w:t>
      </w:r>
      <w:r>
        <w:t xml:space="preserve"> </w:t>
      </w:r>
      <w:r>
        <w:rPr>
          <w:i/>
          <w:iCs/>
        </w:rPr>
        <w:t xml:space="preserve">Nature Journal</w:t>
      </w:r>
      <w:r>
        <w:t xml:space="preserve">, 13(1), 3-10. (in Chinese)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Qian, X. (1990b).</w:t>
      </w:r>
      <w:r>
        <w:t xml:space="preserve"> </w:t>
      </w:r>
      <w:r>
        <w:rPr>
          <w:i/>
          <w:iCs/>
        </w:rPr>
        <w:t xml:space="preserve">Academic Correspondence on Open Complex Giant Systems and Hall of Workshop for Decision Support</w:t>
      </w:r>
      <w:r>
        <w:t xml:space="preserve">. Qian Xuesen Manuscript Collection. (in Chinese)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Qian, X. (1992).</w:t>
      </w:r>
      <w:r>
        <w:t xml:space="preserve"> </w:t>
      </w:r>
      <w:r>
        <w:rPr>
          <w:i/>
          <w:iCs/>
        </w:rPr>
        <w:t xml:space="preserve">Creating Systemology</w:t>
      </w:r>
      <w:r>
        <w:t xml:space="preserve">. Shanxi Science and Technology Press. (in Chinese)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Shannon, C. E. (1948). A mathematical theory of communication.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, 27(3), 379-423.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Spearman, M. L., Woodruff, D. L., &amp; Hopp, W. J. (1990). CONWIP: a pull alternative to MRP.</w:t>
      </w:r>
      <w:r>
        <w:t xml:space="preserve"> </w:t>
      </w:r>
      <w:r>
        <w:rPr>
          <w:i/>
          <w:iCs/>
        </w:rPr>
        <w:t xml:space="preserve">International Journal of Production Research</w:t>
      </w:r>
      <w:r>
        <w:t xml:space="preserve">, 28(5), 879-894.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Vollmann, T. E., Berry, W. L., &amp; Whybark, D. C. (2005).</w:t>
      </w:r>
      <w:r>
        <w:t xml:space="preserve"> </w:t>
      </w:r>
      <w:r>
        <w:rPr>
          <w:i/>
          <w:iCs/>
        </w:rPr>
        <w:t xml:space="preserve">Manufacturing Planning and Control for Supply Chain Management</w:t>
      </w:r>
      <w:r>
        <w:t xml:space="preserve">. McGraw-Hill.</w:t>
      </w:r>
    </w:p>
    <w:bookmarkEnd w:id="34"/>
    <w:bookmarkEnd w:id="35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222222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F2C59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val="1B263B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b/>
      <w:color w:val="415A77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2026-09-17T16:39:21Z</dcterms:created>
  <dcterms:modified xsi:type="dcterms:W3CDTF">2026-09-17T16:39:21Z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