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over-letter-for-ieee-submission"/>
    <w:p>
      <w:pPr>
        <w:pStyle w:val="Heading1"/>
        <w:spacing w:before="280" w:after="120"/>
      </w:pPr>
      <w:r>
        <w:t xml:space="preserve">Cover Letter for IEEE Submission</w:t>
      </w:r>
    </w:p>
    <w:p>
      <w:pPr>
        <w:pStyle w:val="FirstParagraph"/>
        <w:spacing w:line="300" w:lineRule="auto" w:after="80"/>
      </w:pPr>
      <w:r>
        <w:rPr>
          <w:b/>
          <w:bCs/>
        </w:rPr>
        <w:t xml:space="preserve">Date</w:t>
      </w:r>
      <w:r>
        <w:t xml:space="preserve">: September 18, 2026</w:t>
      </w:r>
    </w:p>
    <w:p>
      <w:pPr>
        <w:pStyle w:val="BodyText"/>
        <w:spacing w:line="300" w:lineRule="auto" w:after="80"/>
      </w:pPr>
      <w:r>
        <w:rPr>
          <w:b/>
          <w:bCs/>
        </w:rPr>
        <w:t xml:space="preserve">To</w:t>
      </w:r>
      <w:r>
        <w:t xml:space="preserve">:</w:t>
      </w:r>
      <w:r>
        <w:br/>
      </w:r>
      <w:r>
        <w:t xml:space="preserve">Editor-in-Chief</w:t>
      </w:r>
      <w:r>
        <w:br/>
      </w:r>
      <w:r>
        <w:rPr>
          <w:i/>
          <w:iCs/>
        </w:rPr>
        <w:t xml:space="preserve">IEEE Transactions on Engineering Management</w:t>
      </w:r>
      <w:r>
        <w:t xml:space="preserve"> </w:t>
      </w:r>
      <w:r>
        <w:t xml:space="preserve">(IEEE TEMS) /</w:t>
      </w:r>
      <w:r>
        <w:br/>
      </w:r>
      <w:r>
        <w:rPr>
          <w:i/>
          <w:iCs/>
        </w:rPr>
        <w:t xml:space="preserve">IEEE Transactions on Systems, Man, and Cybernetics: Systems</w:t>
      </w:r>
      <w:r>
        <w:t xml:space="preserve"> </w:t>
      </w:r>
      <w:r>
        <w:t xml:space="preserve">(IEEE SMC)</w:t>
      </w:r>
    </w:p>
    <w:p>
      <w:pPr>
        <w:pStyle w:val="BodyText"/>
        <w:spacing w:line="300" w:lineRule="auto" w:after="80"/>
      </w:pPr>
      <w:r>
        <w:rPr>
          <w:b/>
          <w:bCs/>
        </w:rPr>
        <w:t xml:space="preserve">Subject</w:t>
      </w:r>
      <w:r>
        <w:t xml:space="preserve">: Submission of Original Research Manuscript for Double-Blind Peer Review</w:t>
      </w:r>
    </w:p>
    <w:p>
      <w:pPr>
        <w:pStyle w:val="BodyText"/>
        <w:spacing w:line="300" w:lineRule="auto" w:after="80"/>
      </w:pPr>
      <w:r>
        <w:t xml:space="preserve">Dear Editor-in-Chief,</w:t>
      </w:r>
    </w:p>
    <w:p>
      <w:pPr>
        <w:pStyle w:val="BodyText"/>
        <w:spacing w:line="300" w:lineRule="auto" w:after="80"/>
      </w:pPr>
      <w:r>
        <w:t xml:space="preserve">I am pleased to submit our original research manuscript titled</w:t>
      </w:r>
      <w:r>
        <w:t xml:space="preserve"> </w:t>
      </w:r>
      <w:r>
        <w:rPr>
          <w:b/>
          <w:bCs/>
        </w:rPr>
        <w:t xml:space="preserve">“Value Chain Physics: Formal Proof and Industrial Validation Based on Non-IID and Qian Xuesen’s Open Complex Giant Systems”</w:t>
      </w:r>
      <w:r>
        <w:t xml:space="preserve"> </w:t>
      </w:r>
      <w:r>
        <w:t xml:space="preserve">for consideration as a Regular Paper in</w:t>
      </w:r>
      <w:r>
        <w:t xml:space="preserve"> </w:t>
      </w:r>
      <w:r>
        <w:rPr>
          <w:i/>
          <w:iCs/>
        </w:rPr>
        <w:t xml:space="preserve">IEEE Transactions on Engineering Management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IEEE Transactions on Systems, Man, and Cybernetics: Systems</w:t>
      </w:r>
      <w:r>
        <w:t xml:space="preserve">).</w:t>
      </w:r>
    </w:p>
    <w:bookmarkStart w:id="9" w:name="X50513a7eb87c81e94cf7fa78871bdab62a16e39"/>
    <w:p>
      <w:pPr>
        <w:pStyle w:val="Heading3"/>
        <w:spacing w:before="160" w:after="60"/>
      </w:pPr>
      <w:r>
        <w:t xml:space="preserve">Background and Core Scientific Contribution</w:t>
      </w:r>
    </w:p>
    <w:p>
      <w:pPr>
        <w:pStyle w:val="FirstParagraph"/>
        <w:spacing w:line="300" w:lineRule="auto" w:after="80"/>
      </w:pPr>
      <w:r>
        <w:t xml:space="preserve">Traditional industrial engineering and supply chain planning systems (such as MRP and APS) rely heavily on Independent and Identically Distributed (IID) and linear decoupling assumptions. In real-world enterprise networks characterized by Non-IID topological strong coupling, these traditional models inevitably suffer from computational breakdown and cascading failures.</w:t>
      </w:r>
    </w:p>
    <w:p>
      <w:pPr>
        <w:pStyle w:val="BodyText"/>
        <w:spacing w:line="300" w:lineRule="auto" w:after="80"/>
      </w:pPr>
      <w:r>
        <w:t xml:space="preserve">This paper bridges complex systems science and industrial operations engineering by formalizing</w:t>
      </w:r>
      <w:r>
        <w:t xml:space="preserve"> </w:t>
      </w:r>
      <w:r>
        <w:rPr>
          <w:b/>
          <w:bCs/>
        </w:rPr>
        <w:t xml:space="preserve">Qian Xuesen’s Open Complex Giant Systems (OCGS)</w:t>
      </w:r>
      <w:r>
        <w:t xml:space="preserve"> </w:t>
      </w:r>
      <w:r>
        <w:t xml:space="preserve">theory:</w:t>
      </w:r>
    </w:p>
    <w:p>
      <w:pPr>
        <w:pStyle w:val="Compact"/>
        <w:numPr>
          <w:ilvl w:val="0"/>
          <w:numId w:val="1001"/>
        </w:numPr>
        <w:spacing w:line="300" w:lineRule="auto" w:after="80"/>
      </w:pPr>
      <w:r>
        <w:rPr>
          <w:b/>
          <w:bCs/>
        </w:rPr>
        <w:t xml:space="preserve">First Principle Formulation</w:t>
      </w:r>
      <w:r>
        <w:t xml:space="preserve">: We establish</w:t>
      </w:r>
      <w:r>
        <w:t xml:space="preserve"> </w:t>
      </w:r>
      <w:r>
        <w:rPr>
          <w:b/>
          <w:bCs/>
        </w:rPr>
        <w:t xml:space="preserve">Non-Identical and Non-Independently Distributed (Non-IID)</w:t>
      </w:r>
      <w:r>
        <w:t xml:space="preserve"> </w:t>
      </w:r>
      <w:r>
        <w:t xml:space="preserve">coupling as the first principle of Value Chain Physics (VCP), deriving a qualitative Eight-Axiom System spanning Teleology to Evolution on a five-dimensional orthogonal topological manifold</w:t>
      </w:r>
      <w:r>
        <w:t xml:space="preserve"> </w:t>
      </w:r>
      <m:oMath>
        <m:r>
          <m:rPr>
            <m:scr m:val="script"/>
            <m:sty m:val="p"/>
          </m:rP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  <w:spacing w:line="300" w:lineRule="auto" w:after="80"/>
      </w:pPr>
      <w:r>
        <w:rPr>
          <w:b/>
          <w:bCs/>
        </w:rPr>
        <w:t xml:space="preserve">Formal Proof via Banach Fixed-Point Theorem</w:t>
      </w:r>
      <w:r>
        <w:t xml:space="preserve">: We prove</w:t>
      </w:r>
      <w:r>
        <w:t xml:space="preserve"> </w:t>
      </w:r>
      <w:r>
        <w:rPr>
          <w:b/>
          <w:bCs/>
        </w:rPr>
        <w:t xml:space="preserve">Theorem 1 (Closed-Loop Convergence Theorem for Non-IID Complex Giant Systems)</w:t>
      </w:r>
      <w:r>
        <w:t xml:space="preserve">. By introducing a DAG topological pruning operator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nor/>
                <m:sty m:val="p"/>
              </m:rPr>
              <m:t>cut</m:t>
            </m:r>
          </m:sub>
        </m:sSub>
      </m:oMath>
      <w:r>
        <w:t xml:space="preserve"> </w:t>
      </w:r>
      <w:r>
        <w:t xml:space="preserve">operating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time, the non-convex domain is mapped into a locally strongly convex closed subset</w:t>
      </w:r>
      <w:r>
        <w:t xml:space="preserve"> </w:t>
      </w:r>
      <m:oMath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</m:oMath>
      <w:r>
        <w:t xml:space="preserve">. In a complete normed Banach space, we prove the existence and uniqueness of a self-consistent</w:t>
      </w:r>
      <w:r>
        <w:t xml:space="preserve"> </w:t>
      </w:r>
      <w:r>
        <w:rPr>
          <w:b/>
          <w:bCs/>
        </w:rPr>
        <w:t xml:space="preserve">structural fixed point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explicit contraction constant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γ</m:t>
            </m:r>
            <m:r>
              <m:rPr>
                <m:sty m:val="p"/>
              </m:rPr>
              <m:t>Δ</m:t>
            </m:r>
            <m:r>
              <m:t>t</m:t>
            </m:r>
          </m:num>
          <m:den>
            <m:r>
              <m:rPr>
                <m:sty m:val="p"/>
              </m:rPr>
              <m:t>∥</m:t>
            </m:r>
            <m:r>
              <m:rPr>
                <m:sty m:val="bi"/>
              </m:rPr>
              <m:t>Q</m:t>
            </m:r>
            <m:r>
              <m:rPr>
                <m:sty m:val="p"/>
              </m:rPr>
              <m:t>∥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∥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∥</m:t>
            </m:r>
          </m:den>
        </m:f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completing the mathematical proof of computability for Qian Xuesen’s OCGS.</w:t>
      </w:r>
    </w:p>
    <w:p>
      <w:pPr>
        <w:pStyle w:val="Compact"/>
        <w:numPr>
          <w:ilvl w:val="0"/>
          <w:numId w:val="1001"/>
        </w:numPr>
        <w:spacing w:line="300" w:lineRule="auto" w:after="80"/>
      </w:pPr>
      <w:r>
        <w:rPr>
          <w:b/>
          <w:bCs/>
        </w:rPr>
        <w:t xml:space="preserve">18-Month Large-Scale Industrial Validation</w:t>
      </w:r>
      <w:r>
        <w:t xml:space="preserve">: We validate the theory on Lenovo’s Global Integrated Planning System (IPS) and LCFC (WEF Lighthouse Factory), daily solving 50,000 backlog orders, 2,000,000 SKU-Site nodes, and 150,000 physical constraints. The results confirm a silicon-based autonomous decision-making ratio of</w:t>
      </w:r>
      <w:r>
        <w:t xml:space="preserve"> </w:t>
      </w:r>
      <w:r>
        <w:rPr>
          <w:b/>
          <w:bCs/>
        </w:rPr>
        <w:t xml:space="preserve">over 95.0% for rigid closed-loop automation</w:t>
      </w:r>
      <w:r>
        <w:t xml:space="preserve">, with the 48-hour delivery commitment response rate surging from 50%–60% to</w:t>
      </w:r>
      <w:r>
        <w:t xml:space="preserve"> </w:t>
      </w:r>
      <w:r>
        <w:rPr>
          <w:b/>
          <w:bCs/>
        </w:rPr>
        <w:t xml:space="preserve">over 98.0%</w:t>
      </w:r>
      <w:r>
        <w:t xml:space="preserve">, inventory dropping by 50%, and turnover increasing by 1.9x.</w:t>
      </w:r>
    </w:p>
    <w:bookmarkEnd w:id="9"/>
    <w:bookmarkStart w:id="10" w:name="X2a97bbc2f48d460a67e1db2a3e8941da73b40bf"/>
    <w:p>
      <w:pPr>
        <w:pStyle w:val="Heading3"/>
        <w:spacing w:before="160" w:after="60"/>
      </w:pPr>
      <w:r>
        <w:t xml:space="preserve">Double-Blind Peer Review and Ethical Declarations</w:t>
      </w:r>
    </w:p>
    <w:p>
      <w:pPr>
        <w:pStyle w:val="FirstParagraph"/>
        <w:spacing w:line="300" w:lineRule="auto" w:after="80"/>
      </w:pPr>
      <w:r>
        <w:t xml:space="preserve">In full compliance with IEEE double-blind peer review policies:</w:t>
      </w:r>
      <w:r>
        <w:t xml:space="preserve"> </w:t>
      </w:r>
      <w:r>
        <w:t xml:space="preserve">* The submitted manuscript (</w:t>
      </w:r>
      <w:r>
        <w:rPr>
          <w:rStyle w:val="VerbatimChar"/>
        </w:rPr>
        <w:t xml:space="preserve">Paper_1_Formal_Proof_OCGS_Qian_Xuesen_EN_DoubleBlind.pdf</w:t>
      </w:r>
      <w:r>
        <w:t xml:space="preserve">) has been completely anonymized, removing all author names, affiliations, headers, footers, and biographical references.</w:t>
      </w:r>
      <w:r>
        <w:t xml:space="preserve"> </w:t>
      </w:r>
      <w:r>
        <w:t xml:space="preserve">* Author metadata and declarations are provided separately in the Title Page document (</w:t>
      </w:r>
      <w:r>
        <w:rPr>
          <w:rStyle w:val="VerbatimChar"/>
        </w:rPr>
        <w:t xml:space="preserve">IEEE_Submission_Title_Page.pdf</w:t>
      </w:r>
      <w:r>
        <w:t xml:space="preserve">).</w:t>
      </w:r>
      <w:r>
        <w:t xml:space="preserve"> </w:t>
      </w:r>
      <w:r>
        <w:t xml:space="preserve">* This manuscript represents original work, has not been published previously, and is not currently under consideration by any other journal or conference.</w:t>
      </w:r>
      <w:r>
        <w:t xml:space="preserve"> </w:t>
      </w:r>
      <w:r>
        <w:t xml:space="preserve">* The author declares no financial or personal conflicts of interest.</w:t>
      </w:r>
    </w:p>
    <w:p>
      <w:pPr>
        <w:pStyle w:val="BodyText"/>
        <w:spacing w:line="300" w:lineRule="auto" w:after="80"/>
      </w:pPr>
      <w:r>
        <w:t xml:space="preserve">We believe this paper provides a groundbreaking theoretical foundation and empirical validation for intelligent industrial planning systems, which will be of strong interest to the readers of IEEE TEMS and IEEE SMC.</w:t>
      </w:r>
    </w:p>
    <w:p>
      <w:pPr>
        <w:pStyle w:val="BodyText"/>
        <w:spacing w:line="300" w:lineRule="auto" w:after="80"/>
      </w:pPr>
      <w:r>
        <w:t xml:space="preserve">Thank you very much for your time, consideration, and management of the peer-review process.</w:t>
      </w:r>
    </w:p>
    <w:p>
      <w:pPr>
        <w:pStyle w:val="BodyText"/>
        <w:spacing w:line="300" w:lineRule="auto" w:after="80"/>
      </w:pPr>
      <w:r>
        <w:t xml:space="preserve">Sincerely,</w:t>
      </w:r>
    </w:p>
    <w:p>
      <w:pPr>
        <w:pStyle w:val="BodyText"/>
        <w:spacing w:line="300" w:lineRule="auto" w:after="80"/>
      </w:pPr>
      <w:r>
        <w:rPr>
          <w:b/>
          <w:bCs/>
        </w:rPr>
        <w:t xml:space="preserve">Grit Meng (Fanchun Meng)</w:t>
      </w:r>
      <w:r>
        <w:br/>
      </w:r>
      <w:r>
        <w:t xml:space="preserve">Former Head and Chief Architect of Lenovo Global Supply Chain IPS System</w:t>
      </w:r>
      <w:r>
        <w:br/>
      </w:r>
      <w:r>
        <w:t xml:space="preserve">Creator of the IPC Engine</w:t>
      </w:r>
      <w:r>
        <w:br/>
      </w:r>
      <w:r>
        <w:t xml:space="preserve">Department of Global Digital Neural System Design, Shenzhen, China</w:t>
      </w:r>
      <w:r>
        <w:br/>
      </w:r>
      <w:r>
        <w:t xml:space="preserve">Email: grit.meng@example.com / grit.meng@ieee.org</w:t>
      </w:r>
    </w:p>
    <w:bookmarkEnd w:id="10"/>
    <w:bookmarkEnd w:id="11"/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222222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F2C59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b/>
      <w:color w:val="415A77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2026-09-17T16:39:23Z</dcterms:created>
  <dcterms:modified xsi:type="dcterms:W3CDTF">2026-09-17T16:39:23Z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