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eastAsia="黑体"/>
          <w:b/>
          <w:sz w:val="32"/>
        </w:rPr>
        <w:t>企业价值网络中的资本回报悖论：基于非独立同分布（Non-IID）状态空间建模与闭环调度的架构治理研究</w:t>
      </w:r>
    </w:p>
    <w:p>
      <w:pPr>
        <w:spacing w:after="80"/>
        <w:jc w:val="center"/>
      </w:pPr>
      <w:r>
        <w:rPr>
          <w:rFonts w:eastAsia="宋体"/>
          <w:b/>
          <w:sz w:val="23"/>
        </w:rPr>
        <w:t>孟凡淳 (Grit Meng)</w:t>
      </w:r>
    </w:p>
    <w:p>
      <w:pPr>
        <w:spacing w:after="40"/>
        <w:jc w:val="center"/>
      </w:pPr>
      <w:r>
        <w:rPr>
          <w:rFonts w:eastAsia="楷体"/>
          <w:i/>
          <w:sz w:val="20"/>
        </w:rPr>
        <w:t>IPC 智能计划与控制总设计部 / 独立研究员，北京，中国</w:t>
      </w:r>
    </w:p>
    <w:p>
      <w:pPr>
        <w:spacing w:after="320"/>
        <w:jc w:val="center"/>
      </w:pPr>
      <w:r>
        <w:rPr>
          <w:color w:val="666666"/>
          <w:sz w:val="18"/>
        </w:rPr>
        <w:t>SSRN 预印本：Abstract ID 7251098  |  Zenodo 专著归档：DOI: 10.5281/zenodo.22033928</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180" w:type="dxa"/>
              <w:right w:w="180" w:type="dxa"/>
            </w:tcMar>
          </w:tcPr>
          <w:p>
            <w:pPr>
              <w:spacing w:after="120" w:line="288" w:lineRule="auto"/>
            </w:pPr>
            <w:r>
              <w:rPr>
                <w:rFonts w:eastAsia="黑体"/>
                <w:b/>
                <w:sz w:val="19"/>
              </w:rPr>
              <w:t>摘要：</w:t>
            </w:r>
            <w:r>
              <w:rPr>
                <w:rFonts w:eastAsia="宋体"/>
                <w:sz w:val="19"/>
              </w:rPr>
              <w:t>离散制造企业持续的信息化资本投入并未普遍驱动投入资本回报率（ROIC）的同向提升，再现了信息系统领域的“生产率悖论”。本文指出，该悖论的根源是底层范式的结构性错配：传统企业架构与计划系统建立在要素“独立同分布（IID）”的弱耦合假设之上，而真实的离散制造价值网络本质是非独立同分布（Non-IID）的高维强耦合系统。本文构建五维完备状态流形 $\mathcal{M}=\langle\mathcal{N},\mathcal{T},\mathcal{C},\mathbf{x}(t),\Delta\mathbf{x}(t)\rangle$，提出并形式化统御价值网络演化的八大物理定律，并证明：在共享产能、物料与交期等互斥约束下，多部门局部寻优可引致控制矢量三角不等式相消，其差额定义为侵蚀 ROIC 的协调废热。在此基础上，本文提出刚性物理剪枝与内存闭环调度引擎（IPC），将组合搜索空间从阶乘级 $O(N!)$ 压制至多项式规模，并在标准服务器上实现 296 秒闭环消纳 50 万笔需求订单的工业实证。基于 22 年纵向行动研究的三个自然观测案例验证了“结构存续、结构离体、结构退化”的分野。本文最后提出融合“业务解码、系统建模、闭环协同”三位一体的架构治理框架与“医学院模式”能力建设路径。</w:t>
            </w:r>
          </w:p>
          <w:p>
            <w:pPr>
              <w:spacing w:after="0"/>
            </w:pPr>
            <w:r>
              <w:rPr>
                <w:rFonts w:eastAsia="黑体"/>
                <w:b/>
                <w:sz w:val="19"/>
              </w:rPr>
              <w:t>关键词：</w:t>
            </w:r>
            <w:r>
              <w:rPr>
                <w:rFonts w:eastAsia="宋体"/>
                <w:sz w:val="19"/>
              </w:rPr>
              <w:t>数字化转型；IT生产率悖论；非独立同分布；复杂巨系统；算法治理；闭环控制；资本回报悖论</w:t>
            </w:r>
          </w:p>
        </w:tc>
      </w:tr>
    </w:tbl>
    <w:p>
      <w:pPr>
        <w:spacing w:after="240"/>
      </w:pPr>
    </w:p>
    <w:p>
      <w:pPr>
        <w:keepNext/>
        <w:spacing w:before="320" w:after="120"/>
      </w:pPr>
      <w:r>
        <w:rPr>
          <w:rFonts w:ascii="Times New Roman" w:hAnsi="Times New Roman" w:eastAsia="黑体"/>
          <w:b/>
          <w:color w:val="111111"/>
          <w:sz w:val="28"/>
        </w:rPr>
        <w:t>1. 引言</w:t>
      </w:r>
    </w:p>
    <w:p>
      <w:pPr>
        <w:spacing w:after="120" w:line="288" w:lineRule="auto"/>
        <w:ind w:firstLine="440"/>
      </w:pPr>
      <w:r>
        <w:rPr>
          <w:rFonts w:eastAsia="宋体"/>
          <w:sz w:val="21"/>
        </w:rPr>
        <w:t>制造企业在 ERP、APS 与供应链控制塔上的资本支出年均复合增长达两位数，但企业平均 ROIC 并未同步跃升，部分复杂离散制造门类甚至面临资产周转率边际递减。这正是 Brynjolfsson (1993) 提出的“信息技术生产率悖论”在工业智能时代的显影。</w:t>
      </w:r>
    </w:p>
    <w:p>
      <w:pPr>
        <w:spacing w:before="120" w:after="120"/>
        <w:jc w:val="center"/>
      </w:pPr>
      <w:r>
        <w:rPr>
          <w:rFonts w:ascii="Consolas" w:hAnsi="Consolas"/>
          <w:color w:val="003366"/>
          <w:sz w:val="22"/>
        </w:rPr>
        <w:t>$$\text{ROIC} = \frac{\text{NOPAT}}{\text{Invested Capital}}$$</w:t>
      </w:r>
    </w:p>
    <w:p>
      <w:pPr>
        <w:spacing w:after="120" w:line="288" w:lineRule="auto"/>
        <w:ind w:firstLine="440"/>
      </w:pPr>
      <w:r>
        <w:rPr>
          <w:rFonts w:eastAsia="宋体"/>
          <w:sz w:val="21"/>
        </w:rPr>
        <w:t>当信息化投资不断加大分母而分子未能同步提升时，ROIC 便停滞甚至下滑。车间里的真实图景是：计划员关闭昂贵的 APS 界面，重新打开 Excel 手工对账——这一细节直观揭示了系统复杂性与实际做功之间的断裂。</w:t>
      </w:r>
    </w:p>
    <w:p>
      <w:pPr>
        <w:spacing w:after="120" w:line="288" w:lineRule="auto"/>
        <w:ind w:firstLine="440"/>
      </w:pPr>
      <w:r>
        <w:rPr>
          <w:rFonts w:eastAsia="宋体"/>
          <w:sz w:val="21"/>
        </w:rPr>
        <w:t>既有文献多将转型受阻归因于组织惯性、沟通壁垒或数据质量问题。本文则认为，深层机理是底层数理范式的结构性错配：</w:t>
      </w:r>
    </w:p>
    <w:p>
      <w:pPr>
        <w:spacing w:after="80"/>
        <w:ind w:left="360"/>
      </w:pPr>
      <w:r>
        <w:rPr>
          <w:rFonts w:eastAsia="黑体"/>
          <w:b/>
        </w:rPr>
        <w:t>•  IID 偏差：</w:t>
      </w:r>
      <w:r>
        <w:rPr>
          <w:rFonts w:eastAsia="宋体"/>
        </w:rPr>
        <w:t>自泰勒制以来，管理工程将价值链拆解为销售、采购、制造、财务等职能子集并分设 KPI，这在数学上暗含了状态演化服从 IID 正交分解的假定。</w:t>
      </w:r>
    </w:p>
    <w:p>
      <w:pPr>
        <w:spacing w:after="120"/>
        <w:ind w:left="360"/>
      </w:pPr>
      <w:r>
        <w:rPr>
          <w:rFonts w:eastAsia="黑体"/>
          <w:b/>
        </w:rPr>
        <w:t>•  Non-IID 现实：</w:t>
      </w:r>
      <w:r>
        <w:rPr>
          <w:rFonts w:eastAsia="宋体"/>
        </w:rPr>
        <w:t>在多品种小批量网络中，物料齐套、机台共享与交期承诺存在长程拓扑纠缠（Cao, 2014, 2022）。强行切断关联的平铺数据模型必然产生因果截断与决策失真。</w:t>
      </w:r>
    </w:p>
    <w:p>
      <w:pPr>
        <w:spacing w:after="120" w:line="288" w:lineRule="auto"/>
        <w:ind w:firstLine="440"/>
      </w:pPr>
      <w:r>
        <w:rPr>
          <w:rFonts w:eastAsia="宋体"/>
          <w:sz w:val="21"/>
        </w:rPr>
        <w:t>各部门在各自局部最优方向上用力，宏观上发生动力学相消，协调开销随节点数二次方发散（$O(K^2)$），系统最终收敛于低效纳什均衡与“布朗运动式”组织内耗。</w:t>
      </w:r>
    </w:p>
    <w:p>
      <w:pPr>
        <w:keepNext/>
        <w:spacing w:before="320" w:after="120"/>
      </w:pPr>
      <w:r>
        <w:rPr>
          <w:rFonts w:ascii="Times New Roman" w:hAnsi="Times New Roman" w:eastAsia="黑体"/>
          <w:b/>
          <w:color w:val="111111"/>
          <w:sz w:val="28"/>
        </w:rPr>
        <w:t>2. 理论基础</w:t>
      </w:r>
    </w:p>
    <w:p>
      <w:pPr>
        <w:spacing w:after="80"/>
        <w:ind w:left="360"/>
      </w:pPr>
      <w:r>
        <w:rPr>
          <w:rFonts w:eastAsia="黑体"/>
          <w:b/>
        </w:rPr>
        <w:t>•  开放复杂巨系统与综合集成：</w:t>
      </w:r>
      <w:r>
        <w:rPr>
          <w:rFonts w:eastAsia="宋体"/>
        </w:rPr>
        <w:t>钱学森等（1990）将具有海量异构组分、多层次嵌套与非线性长程相互作用的人造系统定义为开放复杂巨系统（OCGS），其具备计算不可约性（Wolfram, 2002）。“从定性到定量综合集成方法”的核心是人机结合、以人为主的闭环迭代。本文将这一思想工程化为离散制造的价值网络状态流形。</w:t>
      </w:r>
    </w:p>
    <w:p>
      <w:pPr>
        <w:spacing w:after="80"/>
        <w:ind w:left="360"/>
      </w:pPr>
      <w:r>
        <w:rPr>
          <w:rFonts w:eastAsia="黑体"/>
          <w:b/>
        </w:rPr>
        <w:t>•  Non-IID 学习理论：</w:t>
      </w:r>
      <w:r>
        <w:rPr>
          <w:rFonts w:eastAsia="宋体"/>
        </w:rPr>
        <w:t>Cao (2014, 2022) 指出复杂系统普遍存在实体内部耦合、实体间交互耦合与跨时空异质性。价值链要素的强耦合直接引致状态空间的阶乘级组合爆炸 $O(N!)$。</w:t>
      </w:r>
    </w:p>
    <w:p>
      <w:pPr>
        <w:spacing w:after="160"/>
        <w:ind w:left="360"/>
      </w:pPr>
      <w:r>
        <w:rPr>
          <w:rFonts w:eastAsia="黑体"/>
          <w:b/>
        </w:rPr>
        <w:t>•  控制论边界：</w:t>
      </w:r>
      <w:r>
        <w:rPr>
          <w:rFonts w:eastAsia="宋体"/>
        </w:rPr>
        <w:t>Ashby (1956) 的必要多样性定律要求控制器复杂度 $V_c$ 不低于被控系统变异数 $V_s$；Miller (1956) 则限定了人脑的工作记忆带宽。当 $V_s \gg V_c$ 时，基层只能退守手工表格与防御性库存。Kalman (1960) 的可控—可观测对偶定理进一步表明：底层不可观测，则上层不可控制。</w:t>
      </w:r>
    </w:p>
    <w:p>
      <w:pPr>
        <w:keepNext/>
        <w:spacing w:before="320" w:after="120"/>
      </w:pPr>
      <w:r>
        <w:rPr>
          <w:rFonts w:ascii="Times New Roman" w:hAnsi="Times New Roman" w:eastAsia="黑体"/>
          <w:b/>
          <w:color w:val="111111"/>
          <w:sz w:val="28"/>
        </w:rPr>
        <w:t>3. 形式化建模与八大物理定律</w:t>
      </w:r>
    </w:p>
    <w:p>
      <w:pPr>
        <w:keepNext/>
        <w:spacing w:before="240" w:after="80"/>
      </w:pPr>
      <w:r>
        <w:rPr>
          <w:rFonts w:ascii="Times New Roman" w:hAnsi="Times New Roman" w:eastAsia="黑体"/>
          <w:b/>
          <w:color w:val="222222"/>
          <w:sz w:val="24"/>
        </w:rPr>
        <w:t>3.1 五维完备状态流形</w:t>
      </w:r>
    </w:p>
    <w:p>
      <w:pPr>
        <w:spacing w:after="120" w:line="288" w:lineRule="auto"/>
        <w:ind w:firstLine="440"/>
      </w:pPr>
      <w:r>
        <w:rPr>
          <w:rFonts w:eastAsia="宋体"/>
          <w:sz w:val="21"/>
        </w:rPr>
        <w:t>定义价值网络在时刻 $t$ 的状态空间为五维完备流形：</w:t>
      </w:r>
    </w:p>
    <w:p>
      <w:pPr>
        <w:spacing w:before="120" w:after="120"/>
        <w:jc w:val="center"/>
      </w:pPr>
      <w:r>
        <w:rPr>
          <w:rFonts w:ascii="Consolas" w:hAnsi="Consolas"/>
          <w:color w:val="003366"/>
          <w:sz w:val="22"/>
        </w:rPr>
        <w:t>$$\mathcal{M}(t) = \langle \mathcal{N}, \mathcal{T}, \mathcal{C}, \mathbf{x}(t), \Delta\mathbf{x}(t) \rangle$$</w:t>
      </w:r>
    </w:p>
    <w:p>
      <w:pPr>
        <w:spacing w:after="120" w:line="288" w:lineRule="auto"/>
        <w:ind w:firstLine="440"/>
      </w:pPr>
      <w:r>
        <w:rPr>
          <w:rFonts w:eastAsia="宋体"/>
          <w:sz w:val="21"/>
        </w:rPr>
        <w:t>其中 $\mathcal{N}$ 为状态质点（物料、工位、契约、账户），$\mathcal{T}$ 为承载历史因果拓扑的有向图（DAG），$\mathcal{C}$ 为刚性物理与契约约束簇，$\mathbf{x}(t)$ 为瞬时状态矢量，$\Delta\mathbf{x}(t)$ 为离散事件驱动的状态跃迁量。</w:t>
      </w:r>
    </w:p>
    <w:p>
      <w:pPr>
        <w:spacing w:after="120" w:line="288" w:lineRule="auto"/>
        <w:ind w:firstLine="440"/>
      </w:pPr>
      <w:r>
        <w:rPr>
          <w:rFonts w:eastAsia="宋体"/>
          <w:sz w:val="21"/>
        </w:rPr>
        <w:t>系统随时间的闭环演进由 IPC 控制算子 $\Pi$ 驱动，构成马尔可夫/非齐次状态闭环递推：</w:t>
      </w:r>
    </w:p>
    <w:p>
      <w:pPr>
        <w:spacing w:before="120" w:after="120"/>
        <w:jc w:val="center"/>
      </w:pPr>
      <w:r>
        <w:rPr>
          <w:rFonts w:ascii="Consolas" w:hAnsi="Consolas"/>
          <w:color w:val="003366"/>
          <w:sz w:val="22"/>
        </w:rPr>
        <w:t>$$\mathbf{x}(t+1) = \mathbf{x}(t) + \Delta\mathbf{x}(t), \quad \text{其中 } \Delta\mathbf{x}(t) = \Pi\big(\mathbf{x}(t), \mathcal{T}, \mathcal{C}\big)$$</w:t>
      </w:r>
    </w:p>
    <w:p>
      <w:pPr>
        <w:spacing w:after="120" w:line="288" w:lineRule="auto"/>
        <w:ind w:firstLine="440"/>
      </w:pPr>
      <w:r>
        <w:rPr>
          <w:rFonts w:eastAsia="宋体"/>
          <w:sz w:val="21"/>
        </w:rPr>
        <w:t>这五个基元相互独立且完备（MICO）。若剔除任一维度，系统辨识核空间非空，控制器复杂度将无法覆盖被控对象变异，违背必要多样性条件。定义全域有效做功目标 $V_{\Omega}(\mathbf{x})$ 为可行流形上的净产出贡献，扣除协调废热 $Q_{\diss}$。</w:t>
      </w:r>
    </w:p>
    <w:p>
      <w:pPr>
        <w:keepNext/>
        <w:spacing w:before="240" w:after="80"/>
      </w:pPr>
      <w:r>
        <w:rPr>
          <w:rFonts w:ascii="Times New Roman" w:hAnsi="Times New Roman" w:eastAsia="黑体"/>
          <w:b/>
          <w:color w:val="222222"/>
          <w:sz w:val="24"/>
        </w:rPr>
        <w:t>3.2 八大物理定律</w:t>
      </w:r>
    </w:p>
    <w:p>
      <w:pPr>
        <w:spacing w:after="120" w:line="288" w:lineRule="auto"/>
        <w:ind w:firstLine="440"/>
      </w:pPr>
      <w:r>
        <w:rPr>
          <w:rFonts w:eastAsia="宋体"/>
          <w:sz w:val="21"/>
        </w:rPr>
        <w:t>八大定律以 Non-IID 为底层物理基色，构成一条严密的递推公理链：目的论（为何必须对消）→ 本质论（为何是 $O(N!)$）→ 方案论（如何解）→ 能力论（融合三能力）→ 机制论（配额与集中协调）→ 路径论（从何下手）→ 动力论（系统杠杆与支点）→ 进化论（相变如何处置）。</w:t>
      </w:r>
    </w:p>
    <w:p>
      <w:pPr>
        <w:spacing w:after="80"/>
        <w:ind w:left="360"/>
      </w:pPr>
      <w:r>
        <w:rPr>
          <w:rFonts w:eastAsia="黑体"/>
          <w:b/>
        </w:rPr>
        <w:t>定律一 目的论（统御）：</w:t>
      </w:r>
      <w:r>
        <w:rPr>
          <w:rFonts w:eastAsia="宋体"/>
        </w:rPr>
        <w:t>世界本质是非独立同分布（Non-IID）的。若系统缺乏全域统一协奏（同律），局部自利寻优必然引发控制矢量的三角不等式相消（矢量相消）。在宏观上表现为各部门陷入低效纳什均衡与“布朗运动式”盲忙，致使 ROIC 无法反弹。多部门局部最优的合力受三角不等式约束（见 3.3），若方向互斥，净做功趋于零，差额化为废热。</w:t>
      </w:r>
    </w:p>
    <w:p>
      <w:pPr>
        <w:spacing w:after="80"/>
        <w:ind w:left="360"/>
      </w:pPr>
      <w:r>
        <w:rPr>
          <w:rFonts w:eastAsia="黑体"/>
          <w:b/>
        </w:rPr>
        <w:t>定律二 本质论（复杂度边界）：</w:t>
      </w:r>
      <w:r>
        <w:rPr>
          <w:rFonts w:eastAsia="宋体"/>
        </w:rPr>
        <w:t>在 Non-IID 强耦合与长程路径依赖下，每个订单的分配选择均受其余订单的占用状态约束，依赖关系构成全耦合分配图；当 $N$ 个订单与 $T$ 个时窗、$M$ 个互斥机台构成排程组合时，候选配置数达 $(TM)^N$ 量级，在最密约束情形下退化为 $N!$ 的排列上界，即阶乘级 $O(N!)$，远超碳基大脑的并发处理带宽（Miller, 1956）。此时若盲目增加 $M$ 个计划人员，人与人之间的沟通摩擦开销呈二次方发散 $M(M-1)/2 \approx O(M^2)$，造成“乱上加乱”。高频微观消纳必须让渡给硅基引擎。</w:t>
      </w:r>
    </w:p>
    <w:p>
      <w:pPr>
        <w:spacing w:after="80"/>
        <w:ind w:left="360"/>
      </w:pPr>
      <w:r>
        <w:rPr>
          <w:rFonts w:eastAsia="黑体"/>
          <w:b/>
        </w:rPr>
        <w:t>定律三 方案论（收敛本体）：</w:t>
      </w:r>
      <w:r>
        <w:rPr>
          <w:rFonts w:eastAsia="宋体"/>
        </w:rPr>
        <w:t>为实现 Non-IID 巨系统的“可计算性”（Computability），控制介质必须是“数据容器 $D$ + 解算算法 $A$”高频咬合的数字双螺旋 $\Pi=\langle D,A\rangle$，并以刚性剪枝保证在有限离散网格上有限步收敛（见 3.4）。</w:t>
      </w:r>
    </w:p>
    <w:p>
      <w:pPr>
        <w:spacing w:after="80"/>
        <w:ind w:left="360"/>
      </w:pPr>
      <w:r>
        <w:rPr>
          <w:rFonts w:eastAsia="黑体"/>
          <w:b/>
        </w:rPr>
        <w:t>定律四 能力论（三位一体融合能力）：</w:t>
      </w:r>
      <w:r>
        <w:rPr>
          <w:rFonts w:eastAsia="宋体"/>
        </w:rPr>
        <w:t>由于数据模型与解算算法在物理上与真实运营强耦合不可切分，传统科层架构的切块剥离必然失效。能力建设必须形成“三位一体”融合能力：① 业务解码（将微观物理要素抽象为有向因果图谱）；② 系统建模（形式化映射为五维状态流形）；③ 闭环协同（自动化决策反写与偏差自愈）。</w:t>
      </w:r>
    </w:p>
    <w:p>
      <w:pPr>
        <w:spacing w:after="80"/>
        <w:ind w:left="360"/>
      </w:pPr>
      <w:r>
        <w:rPr>
          <w:rFonts w:eastAsia="黑体"/>
          <w:b/>
        </w:rPr>
        <w:t>定律五 机制论（配额自治与集中协调）：</w:t>
      </w:r>
      <w:r>
        <w:rPr>
          <w:rFonts w:eastAsia="宋体"/>
        </w:rPr>
        <w:t>在目标不可公度、约束非凸且信息分散下，多主体分散协商在数学上无法自发产生全局自洽解（由阿什比必要多样性定律约束）。集中式可计算协调优于纯分散寻优：设全局配额向量 $\mathbf{r} \in \mathcal{C}$，子域在 $\mathbf{x}_k \in \{\mathbf{x} : g_k(\mathbf{x}) \le \mathbf{r}_k\}$ 内自治重优化；总部只调 $\mathbf{r}$，微观只调 $\mathbf{x}_k$。</w:t>
      </w:r>
    </w:p>
    <w:p>
      <w:pPr>
        <w:spacing w:after="80"/>
        <w:ind w:left="360"/>
      </w:pPr>
      <w:r>
        <w:rPr>
          <w:rFonts w:eastAsia="黑体"/>
          <w:b/>
        </w:rPr>
        <w:t>定律六 路径论（可观测性）：</w:t>
      </w:r>
      <w:r>
        <w:rPr>
          <w:rFonts w:eastAsia="宋体"/>
        </w:rPr>
        <w:t>控制维度受限于物理执行层的可观测维度（$\dim \mathcal{C} \le \dim \mathcal{O}$）——不可观测即不可控制，必须从微观探针与物理指令反写（Write-Back）自下而上建设。</w:t>
      </w:r>
    </w:p>
    <w:p>
      <w:pPr>
        <w:spacing w:after="80"/>
        <w:ind w:left="360"/>
      </w:pPr>
      <w:r>
        <w:rPr>
          <w:rFonts w:eastAsia="黑体"/>
          <w:b/>
        </w:rPr>
        <w:t>定律七 动力论（系统杠杆与支点）：</w:t>
      </w:r>
      <w:r>
        <w:rPr>
          <w:rFonts w:eastAsia="宋体"/>
        </w:rPr>
        <w:t>管理权力的施加与资源倾注，必须以系统的真实物理瓶颈作为唯一物理支点（Fulcrum）。记 $\mathcal{C}_{\text{active}} \subset \mathcal{C}$ 为当前紧约束对应的活跃瓶颈资源集合。当控制输入 $\delta\mathbf{u}$ 作用于瓶颈支点 $\mathbf{x}_{\text{fulcrum}} \in \mathcal{C}_{\text{active}}$ 时，全域做功 $V_\Omega$ 的杠杆放大率最大，有效做功增量由方向导数给出：$\Delta V_\Omega = \dfrac{\partial V_\Omega}{\partial \mathbf{x}_{\text{fulcrum}}} \cdot \delta\mathbf{u}$，其中梯度分量由企业战略目标（净利、OTD 或其加权和）确定（见 3.1）。若行政指令脱离物理支点、作用于非瓶颈点 $\mathbf{x} \notin \mathcal{C}_{\text{active}}$，则杠杆收益趋于可忽略，控制能量主要转化为内部摩擦废热 $Q_{\diss}$，引发系统无效震荡。</w:t>
      </w:r>
    </w:p>
    <w:p>
      <w:pPr>
        <w:spacing w:after="80"/>
        <w:ind w:left="360"/>
      </w:pPr>
      <w:r>
        <w:rPr>
          <w:rFonts w:eastAsia="黑体"/>
          <w:b/>
        </w:rPr>
        <w:t>定律八 进化论（元认知）：</w:t>
      </w:r>
      <w:r>
        <w:rPr>
          <w:rFonts w:eastAsia="宋体"/>
        </w:rPr>
        <w:t>设 $\mathcal{K}_t$ 表示 $t$ 时刻规则集、约束集与求解公理；当极端相变致可行解域为空（$\mathcal{S}_{\text{feas}} = \emptyset$）或残差超阈值时，人类须跳出环外通过元操作算子集 $\Phi$ 重写公理（$\Phi:\mathcal{K}_t\to\mathcal{K}_{t+1}$）；常态则由硅基在环外自主自愈。</w:t>
      </w:r>
    </w:p>
    <w:p>
      <w:pPr>
        <w:keepNext/>
        <w:spacing w:before="240" w:after="80"/>
      </w:pPr>
      <w:r>
        <w:rPr>
          <w:rFonts w:ascii="Times New Roman" w:hAnsi="Times New Roman" w:eastAsia="黑体"/>
          <w:b/>
          <w:color w:val="222222"/>
          <w:sz w:val="24"/>
        </w:rPr>
        <w:t>3.3 定理 1：控制矢量相消与协调废热</w:t>
      </w:r>
    </w:p>
    <w:p>
      <w:pPr>
        <w:spacing w:after="120" w:line="288" w:lineRule="auto"/>
        <w:ind w:firstLine="440"/>
      </w:pPr>
      <w:r>
        <w:rPr>
          <w:rFonts w:eastAsia="宋体"/>
          <w:sz w:val="21"/>
        </w:rPr>
        <w:t>各部门依据局部目标 $E_k(\mathbf{x})$ 施加控制输入 $\mathbf{u}_k = -\eta_k\nabla_k E_k(\mathbf{x})$。由三角不等式：</w:t>
      </w:r>
    </w:p>
    <w:p>
      <w:pPr>
        <w:spacing w:before="120" w:after="120"/>
        <w:jc w:val="center"/>
      </w:pPr>
      <w:r>
        <w:rPr>
          <w:rFonts w:ascii="Consolas" w:hAnsi="Consolas"/>
          <w:color w:val="003366"/>
          <w:sz w:val="22"/>
        </w:rPr>
        <w:t>$$\left\|\sum_{k=1}^{K}\mathbf{u}_k\right\| \le \sum_{k=1}^{K}\|\mathbf{u}_k\|$$</w:t>
      </w:r>
    </w:p>
    <w:p>
      <w:pPr>
        <w:spacing w:after="120" w:line="288" w:lineRule="auto"/>
        <w:ind w:firstLine="440"/>
      </w:pPr>
      <w:r>
        <w:rPr>
          <w:rFonts w:eastAsia="宋体"/>
          <w:sz w:val="21"/>
        </w:rPr>
        <w:t>当部门间因共享产能、物料、交期而互斥时，至少存在一对 $\langle\mathbf{u}_i,\mathbf{u}_j\rangle &lt; 0$，故不等式严格成立。定义协调废热为：</w:t>
      </w:r>
    </w:p>
    <w:p>
      <w:pPr>
        <w:spacing w:before="120" w:after="120"/>
        <w:jc w:val="center"/>
      </w:pPr>
      <w:r>
        <w:rPr>
          <w:rFonts w:ascii="Consolas" w:hAnsi="Consolas"/>
          <w:color w:val="003366"/>
          <w:sz w:val="22"/>
        </w:rPr>
        <w:t>$$Q_{\diss} \triangleq \sum_{k=1}^{K}\|\mathbf{u}_k\| - \left\|\sum_{k=1}^{K}\mathbf{u}_k\right\| \ge 0$$</w:t>
      </w:r>
    </w:p>
    <w:p>
      <w:pPr>
        <w:spacing w:after="120" w:line="288" w:lineRule="auto"/>
        <w:ind w:firstLine="440"/>
      </w:pPr>
      <w:r>
        <w:rPr>
          <w:rFonts w:eastAsia="宋体"/>
          <w:sz w:val="21"/>
        </w:rPr>
        <w:t>$Q_{\diss}$ 直接度量内部博弈、等待与库存积压造成的熵增，是 ROIC 物理衰减的微观来源。证明见附录 A。当至少存在一对子系统使 $\langle\mathbf{u}_i,\mathbf{u}_j\rangle &lt; 0$ 且不全共线时，合范数严格小于分范和；若对所有 $i \ne j$ 均有 $\langle\mathbf{u}_i,\mathbf{u}_j\rangle \le -\epsilon$（$\epsilon &gt; 0$），则达到强相消充分条件。相消为充分条件而非必然：仅当所有局部控制非负共线时等号成立；在共享产能/物料/交期互斥下，至少一对内积为负即产生正废热，多对强负则进入强相消区。</w:t>
      </w:r>
    </w:p>
    <w:p>
      <w:pPr>
        <w:keepNext/>
        <w:spacing w:before="240" w:after="80"/>
      </w:pPr>
      <w:r>
        <w:rPr>
          <w:rFonts w:ascii="Times New Roman" w:hAnsi="Times New Roman" w:eastAsia="黑体"/>
          <w:b/>
          <w:color w:val="222222"/>
          <w:sz w:val="24"/>
        </w:rPr>
        <w:t>3.4 刚性剪枝与复杂度降维</w:t>
      </w:r>
    </w:p>
    <w:p>
      <w:pPr>
        <w:spacing w:after="120" w:line="288" w:lineRule="auto"/>
        <w:ind w:firstLine="440"/>
      </w:pPr>
      <w:r>
        <w:rPr>
          <w:rFonts w:eastAsia="宋体"/>
          <w:sz w:val="21"/>
        </w:rPr>
        <w:t>定理 2：在计算图极早期嵌入刚性约束指示函数：</w:t>
      </w:r>
    </w:p>
    <w:p>
      <w:pPr>
        <w:spacing w:before="120" w:after="120"/>
        <w:jc w:val="center"/>
      </w:pPr>
      <w:r>
        <w:rPr>
          <w:rFonts w:ascii="Consolas" w:hAnsi="Consolas"/>
          <w:color w:val="003366"/>
          <w:sz w:val="22"/>
        </w:rPr>
        <w:t>$$\mathbb{I}_{\mathcal{C}}(\mathbf{x}) = \begin{cases} 1, &amp; \mathbf{x}\in\mathcal{M}_{\text{feasible}} \\ 0, &amp; \text{否则} \end{cases}$$</w:t>
      </w:r>
    </w:p>
    <w:p>
      <w:pPr>
        <w:spacing w:after="120" w:line="288" w:lineRule="auto"/>
        <w:ind w:firstLine="440"/>
      </w:pPr>
      <w:r>
        <w:rPr>
          <w:rFonts w:eastAsia="宋体"/>
          <w:sz w:val="21"/>
        </w:rPr>
        <w:t>刚性指示函数在极早期剔除不可行分支，在最密约束下将阶乘级搜索空间 $O(N!)$ 直接压制为紧致流形上的多项式/树形剪枝规模上界 $O(b^L)$，其中 $b$ 为单节点低阶有效分配数、$L$ 为 BOM/工序层数。该上界是搜索空间测度，而非最坏运行时间。IPC 在 DAG 拓扑序上做容量/齐套前缀剪枝与连续数组线性扫描，全量消纳的运行时间复杂度为 $O(N \log N)$；其实测常数受 L3 Cache 与内存带宽影响。有限步收敛由离散网格单调下降引理（见附录 A）保证，终点为可行域内近似最优解。若以松弛线性规划或拉格朗日下界为基准，相对下界的 optimality gap &lt; 1.2%。</w:t>
      </w:r>
    </w:p>
    <w:p>
      <w:pPr>
        <w:spacing w:after="120" w:line="288" w:lineRule="auto"/>
        <w:ind w:firstLine="440"/>
      </w:pPr>
      <w:r>
        <w:rPr>
          <w:rFonts w:eastAsia="黑体"/>
          <w:b/>
          <w:sz w:val="21"/>
        </w:rPr>
        <w:t>奥卡姆说明：</w:t>
      </w:r>
      <w:r>
        <w:rPr>
          <w:rFonts w:eastAsia="宋体"/>
          <w:sz w:val="21"/>
        </w:rPr>
        <w:t>奥卡姆说明：本文不引入 Banach 压缩映射表述。有限网格上的单调下降已足以论证有限步终止，且更贴合离散物料与整数产能的物理设定。</w:t>
      </w:r>
    </w:p>
    <w:p>
      <w:pPr>
        <w:keepNext/>
        <w:spacing w:before="320" w:after="120"/>
      </w:pPr>
      <w:r>
        <w:rPr>
          <w:rFonts w:ascii="Times New Roman" w:hAnsi="Times New Roman" w:eastAsia="黑体"/>
          <w:b/>
          <w:color w:val="111111"/>
          <w:sz w:val="28"/>
        </w:rPr>
        <w:t>4. 实证验证</w:t>
      </w:r>
    </w:p>
    <w:p>
      <w:pPr>
        <w:keepNext/>
        <w:spacing w:before="240" w:after="80"/>
      </w:pPr>
      <w:r>
        <w:rPr>
          <w:rFonts w:ascii="Times New Roman" w:hAnsi="Times New Roman" w:eastAsia="黑体"/>
          <w:b/>
          <w:color w:val="222222"/>
          <w:sz w:val="24"/>
        </w:rPr>
        <w:t>4.1 研究设计：22 年纵向行动研究</w:t>
      </w:r>
    </w:p>
    <w:p>
      <w:pPr>
        <w:spacing w:after="120" w:line="288" w:lineRule="auto"/>
        <w:ind w:firstLine="440"/>
      </w:pPr>
      <w:r>
        <w:rPr>
          <w:rFonts w:eastAsia="宋体"/>
          <w:sz w:val="21"/>
        </w:rPr>
        <w:t>基于作者 2004–2026 年在联想集团及全球 ODM 供应链现场的参与式实践，分三阶段：</w:t>
      </w:r>
    </w:p>
    <w:p>
      <w:pPr>
        <w:spacing w:after="80"/>
        <w:ind w:left="360"/>
      </w:pPr>
      <w:r>
        <w:rPr>
          <w:rFonts w:eastAsia="黑体"/>
          <w:b/>
        </w:rPr>
        <w:t>1. 2004–2012：</w:t>
      </w:r>
      <w:r>
        <w:rPr>
          <w:rFonts w:eastAsia="宋体"/>
        </w:rPr>
        <w:t>观察旧 APS/ERP 部署下的矢量对消与手工账；</w:t>
      </w:r>
    </w:p>
    <w:p>
      <w:pPr>
        <w:spacing w:after="80"/>
        <w:ind w:left="360"/>
      </w:pPr>
      <w:r>
        <w:rPr>
          <w:rFonts w:eastAsia="黑体"/>
          <w:b/>
        </w:rPr>
        <w:t>2. 2012–2020：</w:t>
      </w:r>
      <w:r>
        <w:rPr>
          <w:rFonts w:eastAsia="宋体"/>
        </w:rPr>
        <w:t>研发闭环集成计划方案（IPS）并在千亿级工厂验证；</w:t>
      </w:r>
    </w:p>
    <w:p>
      <w:pPr>
        <w:spacing w:after="80"/>
        <w:ind w:left="360"/>
      </w:pPr>
      <w:r>
        <w:rPr>
          <w:rFonts w:eastAsia="黑体"/>
          <w:b/>
        </w:rPr>
        <w:t>3. 2020–2026：</w:t>
      </w:r>
      <w:r>
        <w:rPr>
          <w:rFonts w:eastAsia="宋体"/>
        </w:rPr>
        <w:t>IPC 引擎产品化与算法治理公理化。</w:t>
      </w:r>
    </w:p>
    <w:p>
      <w:pPr>
        <w:spacing w:after="120" w:line="288" w:lineRule="auto"/>
        <w:ind w:firstLine="440"/>
      </w:pPr>
      <w:r>
        <w:rPr>
          <w:rFonts w:eastAsia="宋体"/>
          <w:sz w:val="21"/>
        </w:rPr>
        <w:t>本文仅将相关企业视为实践场与纵向案例，不评价企业本身；作者与企业的隶属关系已在文末声明。</w:t>
      </w:r>
    </w:p>
    <w:p>
      <w:pPr>
        <w:keepNext/>
        <w:spacing w:before="240" w:after="80"/>
      </w:pPr>
      <w:r>
        <w:rPr>
          <w:rFonts w:ascii="Times New Roman" w:hAnsi="Times New Roman" w:eastAsia="黑体"/>
          <w:b/>
          <w:color w:val="222222"/>
          <w:sz w:val="24"/>
        </w:rPr>
        <w:t>4.2 同构基准平台下的求解器对比</w:t>
      </w:r>
    </w:p>
    <w:p>
      <w:pPr>
        <w:spacing w:after="120" w:line="288" w:lineRule="auto"/>
        <w:ind w:firstLine="440"/>
      </w:pPr>
      <w:r>
        <w:rPr>
          <w:rFonts w:eastAsia="宋体"/>
          <w:sz w:val="21"/>
        </w:rPr>
        <w:t>IPC 引擎采用数据导向设计（DOD）：64 字节 Cache-Line 对齐与 SIMD 矢量化。在同一数据集、同一约束集、同一时间窗下对比（表 1）。</w:t>
      </w:r>
    </w:p>
    <w:p>
      <w:pPr>
        <w:spacing w:before="160" w:after="80"/>
      </w:pPr>
      <w:r>
        <w:rPr>
          <w:rFonts w:eastAsia="黑体"/>
          <w:b/>
        </w:rPr>
        <w:t>表 1：求解器与范式性能对比表</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1872"/>
        <w:gridCol w:w="1872"/>
        <w:gridCol w:w="1872"/>
        <w:gridCol w:w="1872"/>
        <w:gridCol w:w="1872"/>
      </w:tblGrid>
      <w:tr>
        <w:tc>
          <w:tcPr>
            <w:tcW w:type="dxa" w:w="2160"/>
            <w:tcMar>
              <w:top w:w="100" w:type="dxa"/>
              <w:bottom w:w="100" w:type="dxa"/>
              <w:left w:w="120" w:type="dxa"/>
              <w:right w:w="120" w:type="dxa"/>
            </w:tcMar>
            <w:shd w:val="clear" w:color="auto" w:fill="EAECEF"/>
          </w:tcPr>
          <w:p>
            <w:pPr>
              <w:spacing w:after="0" w:before="0" w:line="264" w:lineRule="auto"/>
            </w:pPr>
            <w:r>
              <w:rPr>
                <w:rFonts w:eastAsia="黑体"/>
                <w:b/>
                <w:sz w:val="19"/>
              </w:rPr>
              <w:t>求解器 / 范式</w:t>
            </w:r>
          </w:p>
        </w:tc>
        <w:tc>
          <w:tcPr>
            <w:tcW w:type="dxa" w:w="2160"/>
            <w:tcMar>
              <w:top w:w="100" w:type="dxa"/>
              <w:bottom w:w="100" w:type="dxa"/>
              <w:left w:w="120" w:type="dxa"/>
              <w:right w:w="120" w:type="dxa"/>
            </w:tcMar>
            <w:shd w:val="clear" w:color="auto" w:fill="EAECEF"/>
          </w:tcPr>
          <w:p>
            <w:pPr>
              <w:spacing w:after="0" w:before="0" w:line="264" w:lineRule="auto"/>
            </w:pPr>
            <w:r>
              <w:rPr>
                <w:rFonts w:eastAsia="黑体"/>
                <w:b/>
                <w:sz w:val="19"/>
              </w:rPr>
              <w:t>收敛状态</w:t>
            </w:r>
          </w:p>
        </w:tc>
        <w:tc>
          <w:tcPr>
            <w:tcW w:type="dxa" w:w="1152"/>
            <w:tcMar>
              <w:top w:w="100" w:type="dxa"/>
              <w:bottom w:w="100" w:type="dxa"/>
              <w:left w:w="120" w:type="dxa"/>
              <w:right w:w="120" w:type="dxa"/>
            </w:tcMar>
            <w:shd w:val="clear" w:color="auto" w:fill="EAECEF"/>
          </w:tcPr>
          <w:p>
            <w:pPr>
              <w:spacing w:after="0" w:before="0" w:line="264" w:lineRule="auto"/>
            </w:pPr>
            <w:r>
              <w:rPr>
                <w:rFonts w:eastAsia="黑体"/>
                <w:b/>
                <w:sz w:val="19"/>
              </w:rPr>
              <w:t>耗时</w:t>
            </w:r>
          </w:p>
        </w:tc>
        <w:tc>
          <w:tcPr>
            <w:tcW w:type="dxa" w:w="1440"/>
            <w:tcMar>
              <w:top w:w="100" w:type="dxa"/>
              <w:bottom w:w="100" w:type="dxa"/>
              <w:left w:w="120" w:type="dxa"/>
              <w:right w:w="120" w:type="dxa"/>
            </w:tcMar>
            <w:shd w:val="clear" w:color="auto" w:fill="EAECEF"/>
          </w:tcPr>
          <w:p>
            <w:pPr>
              <w:spacing w:after="0" w:before="0" w:line="264" w:lineRule="auto"/>
            </w:pPr>
            <w:r>
              <w:rPr>
                <w:rFonts w:eastAsia="黑体"/>
                <w:b/>
                <w:sz w:val="19"/>
              </w:rPr>
              <w:t>内存占用</w:t>
            </w:r>
          </w:p>
        </w:tc>
        <w:tc>
          <w:tcPr>
            <w:tcW w:type="dxa" w:w="2448"/>
            <w:tcMar>
              <w:top w:w="100" w:type="dxa"/>
              <w:bottom w:w="100" w:type="dxa"/>
              <w:left w:w="120" w:type="dxa"/>
              <w:right w:w="120" w:type="dxa"/>
            </w:tcMar>
            <w:shd w:val="clear" w:color="auto" w:fill="EAECEF"/>
          </w:tcPr>
          <w:p>
            <w:pPr>
              <w:spacing w:after="0" w:before="0" w:line="264" w:lineRule="auto"/>
            </w:pPr>
            <w:r>
              <w:rPr>
                <w:rFonts w:eastAsia="黑体"/>
                <w:b/>
                <w:sz w:val="19"/>
              </w:rPr>
              <w:t>刚性违约 / 质量表现</w:t>
            </w:r>
          </w:p>
        </w:tc>
      </w:tr>
      <w:tr>
        <w:tc>
          <w:tcPr>
            <w:tcW w:type="dxa" w:w="2160"/>
            <w:tcMar>
              <w:top w:w="100" w:type="dxa"/>
              <w:bottom w:w="100" w:type="dxa"/>
              <w:left w:w="120" w:type="dxa"/>
              <w:right w:w="120" w:type="dxa"/>
            </w:tcMar>
          </w:tcPr>
          <w:p>
            <w:pPr>
              <w:spacing w:after="0" w:before="0" w:line="264" w:lineRule="auto"/>
            </w:pPr>
            <w:r>
              <w:rPr>
                <w:rFonts w:eastAsia="宋体"/>
                <w:sz w:val="19"/>
              </w:rPr>
              <w:t>Gurobi MILP 10.0</w:t>
            </w:r>
          </w:p>
        </w:tc>
        <w:tc>
          <w:tcPr>
            <w:tcW w:type="dxa" w:w="2160"/>
            <w:tcMar>
              <w:top w:w="100" w:type="dxa"/>
              <w:bottom w:w="100" w:type="dxa"/>
              <w:left w:w="120" w:type="dxa"/>
              <w:right w:w="120" w:type="dxa"/>
            </w:tcMar>
          </w:tcPr>
          <w:p>
            <w:pPr>
              <w:spacing w:after="0" w:before="0" w:line="264" w:lineRule="auto"/>
            </w:pPr>
            <w:r>
              <w:rPr>
                <w:rFonts w:eastAsia="宋体"/>
                <w:sz w:val="19"/>
              </w:rPr>
              <w:t>超时发散 (gap &gt; 84%)</w:t>
            </w:r>
          </w:p>
        </w:tc>
        <w:tc>
          <w:tcPr>
            <w:tcW w:type="dxa" w:w="1152"/>
            <w:tcMar>
              <w:top w:w="100" w:type="dxa"/>
              <w:bottom w:w="100" w:type="dxa"/>
              <w:left w:w="120" w:type="dxa"/>
              <w:right w:w="120" w:type="dxa"/>
            </w:tcMar>
          </w:tcPr>
          <w:p>
            <w:pPr>
              <w:spacing w:after="0" w:before="0" w:line="264" w:lineRule="auto"/>
            </w:pPr>
            <w:r>
              <w:rPr>
                <w:rFonts w:eastAsia="宋体"/>
                <w:sz w:val="19"/>
              </w:rPr>
              <w:t>&gt; 24h</w:t>
            </w:r>
          </w:p>
        </w:tc>
        <w:tc>
          <w:tcPr>
            <w:tcW w:type="dxa" w:w="1440"/>
            <w:tcMar>
              <w:top w:w="100" w:type="dxa"/>
              <w:bottom w:w="100" w:type="dxa"/>
              <w:left w:w="120" w:type="dxa"/>
              <w:right w:w="120" w:type="dxa"/>
            </w:tcMar>
          </w:tcPr>
          <w:p>
            <w:pPr>
              <w:spacing w:after="0" w:before="0" w:line="264" w:lineRule="auto"/>
            </w:pPr>
            <w:r>
              <w:rPr>
                <w:rFonts w:eastAsia="宋体"/>
                <w:sz w:val="19"/>
              </w:rPr>
              <w:t>&gt; 64GB OOM</w:t>
            </w:r>
          </w:p>
        </w:tc>
        <w:tc>
          <w:tcPr>
            <w:tcW w:type="dxa" w:w="2448"/>
            <w:tcMar>
              <w:top w:w="100" w:type="dxa"/>
              <w:bottom w:w="100" w:type="dxa"/>
              <w:left w:w="120" w:type="dxa"/>
              <w:right w:w="120" w:type="dxa"/>
            </w:tcMar>
          </w:tcPr>
          <w:p>
            <w:pPr>
              <w:spacing w:after="0" w:before="0" w:line="264" w:lineRule="auto"/>
            </w:pPr>
            <w:r>
              <w:rPr>
                <w:rFonts w:eastAsia="宋体"/>
                <w:sz w:val="19"/>
              </w:rPr>
              <w:t>无法输出可行解</w:t>
            </w:r>
          </w:p>
        </w:tc>
      </w:tr>
      <w:tr>
        <w:tc>
          <w:tcPr>
            <w:tcW w:type="dxa" w:w="2160"/>
            <w:tcMar>
              <w:top w:w="100" w:type="dxa"/>
              <w:bottom w:w="100" w:type="dxa"/>
              <w:left w:w="120" w:type="dxa"/>
              <w:right w:w="120" w:type="dxa"/>
            </w:tcMar>
          </w:tcPr>
          <w:p>
            <w:pPr>
              <w:spacing w:after="0" w:before="0" w:line="264" w:lineRule="auto"/>
            </w:pPr>
            <w:r>
              <w:rPr>
                <w:rFonts w:eastAsia="宋体"/>
                <w:sz w:val="19"/>
              </w:rPr>
              <w:t>经典商业 APS</w:t>
            </w:r>
          </w:p>
        </w:tc>
        <w:tc>
          <w:tcPr>
            <w:tcW w:type="dxa" w:w="2160"/>
            <w:tcMar>
              <w:top w:w="100" w:type="dxa"/>
              <w:bottom w:w="100" w:type="dxa"/>
              <w:left w:w="120" w:type="dxa"/>
              <w:right w:w="120" w:type="dxa"/>
            </w:tcMar>
          </w:tcPr>
          <w:p>
            <w:pPr>
              <w:spacing w:after="0" w:before="0" w:line="264" w:lineRule="auto"/>
            </w:pPr>
            <w:r>
              <w:rPr>
                <w:rFonts w:eastAsia="宋体"/>
                <w:sz w:val="19"/>
              </w:rPr>
              <w:t>中断 / 局部规则</w:t>
            </w:r>
          </w:p>
        </w:tc>
        <w:tc>
          <w:tcPr>
            <w:tcW w:type="dxa" w:w="1152"/>
            <w:tcMar>
              <w:top w:w="100" w:type="dxa"/>
              <w:bottom w:w="100" w:type="dxa"/>
              <w:left w:w="120" w:type="dxa"/>
              <w:right w:w="120" w:type="dxa"/>
            </w:tcMar>
          </w:tcPr>
          <w:p>
            <w:pPr>
              <w:spacing w:after="0" w:before="0" w:line="264" w:lineRule="auto"/>
            </w:pPr>
            <w:r>
              <w:rPr>
                <w:rFonts w:eastAsia="宋体"/>
                <w:sz w:val="19"/>
              </w:rPr>
              <w:t>4.5h</w:t>
            </w:r>
          </w:p>
        </w:tc>
        <w:tc>
          <w:tcPr>
            <w:tcW w:type="dxa" w:w="1440"/>
            <w:tcMar>
              <w:top w:w="100" w:type="dxa"/>
              <w:bottom w:w="100" w:type="dxa"/>
              <w:left w:w="120" w:type="dxa"/>
              <w:right w:w="120" w:type="dxa"/>
            </w:tcMar>
          </w:tcPr>
          <w:p>
            <w:pPr>
              <w:spacing w:after="0" w:before="0" w:line="264" w:lineRule="auto"/>
            </w:pPr>
            <w:r>
              <w:rPr>
                <w:rFonts w:eastAsia="宋体"/>
                <w:sz w:val="19"/>
              </w:rPr>
              <w:t>18GB</w:t>
            </w:r>
          </w:p>
        </w:tc>
        <w:tc>
          <w:tcPr>
            <w:tcW w:type="dxa" w:w="2448"/>
            <w:tcMar>
              <w:top w:w="100" w:type="dxa"/>
              <w:bottom w:w="100" w:type="dxa"/>
              <w:left w:w="120" w:type="dxa"/>
              <w:right w:w="120" w:type="dxa"/>
            </w:tcMar>
          </w:tcPr>
          <w:p>
            <w:pPr>
              <w:spacing w:after="0" w:before="0" w:line="264" w:lineRule="auto"/>
            </w:pPr>
            <w:r>
              <w:rPr>
                <w:rFonts w:eastAsia="宋体"/>
                <w:sz w:val="19"/>
              </w:rPr>
              <w:t>缺料违约</w:t>
            </w:r>
          </w:p>
        </w:tc>
      </w:tr>
      <w:tr>
        <w:tc>
          <w:tcPr>
            <w:tcW w:type="dxa" w:w="2160"/>
            <w:tcMar>
              <w:top w:w="100" w:type="dxa"/>
              <w:bottom w:w="100" w:type="dxa"/>
              <w:left w:w="120" w:type="dxa"/>
              <w:right w:w="120" w:type="dxa"/>
            </w:tcMar>
          </w:tcPr>
          <w:p>
            <w:pPr>
              <w:spacing w:after="0" w:before="0" w:line="264" w:lineRule="auto"/>
            </w:pPr>
            <w:r>
              <w:rPr>
                <w:rFonts w:eastAsia="宋体"/>
                <w:sz w:val="19"/>
              </w:rPr>
              <w:t>纯概率 LLM</w:t>
            </w:r>
          </w:p>
        </w:tc>
        <w:tc>
          <w:tcPr>
            <w:tcW w:type="dxa" w:w="2160"/>
            <w:tcMar>
              <w:top w:w="100" w:type="dxa"/>
              <w:bottom w:w="100" w:type="dxa"/>
              <w:left w:w="120" w:type="dxa"/>
              <w:right w:w="120" w:type="dxa"/>
            </w:tcMar>
          </w:tcPr>
          <w:p>
            <w:pPr>
              <w:spacing w:after="0" w:before="0" w:line="264" w:lineRule="auto"/>
            </w:pPr>
            <w:r>
              <w:rPr>
                <w:rFonts w:eastAsia="宋体"/>
                <w:sz w:val="19"/>
              </w:rPr>
              <w:t>轨迹幻觉</w:t>
            </w:r>
          </w:p>
        </w:tc>
        <w:tc>
          <w:tcPr>
            <w:tcW w:type="dxa" w:w="1152"/>
            <w:tcMar>
              <w:top w:w="100" w:type="dxa"/>
              <w:bottom w:w="100" w:type="dxa"/>
              <w:left w:w="120" w:type="dxa"/>
              <w:right w:w="120" w:type="dxa"/>
            </w:tcMar>
          </w:tcPr>
          <w:p>
            <w:pPr>
              <w:spacing w:after="0" w:before="0" w:line="264" w:lineRule="auto"/>
            </w:pPr>
            <w:r>
              <w:rPr>
                <w:rFonts w:eastAsia="宋体"/>
                <w:sz w:val="19"/>
              </w:rPr>
              <w:t>1.2h</w:t>
            </w:r>
          </w:p>
        </w:tc>
        <w:tc>
          <w:tcPr>
            <w:tcW w:type="dxa" w:w="1440"/>
            <w:tcMar>
              <w:top w:w="100" w:type="dxa"/>
              <w:bottom w:w="100" w:type="dxa"/>
              <w:left w:w="120" w:type="dxa"/>
              <w:right w:w="120" w:type="dxa"/>
            </w:tcMar>
          </w:tcPr>
          <w:p>
            <w:pPr>
              <w:spacing w:after="0" w:before="0" w:line="264" w:lineRule="auto"/>
            </w:pPr>
            <w:r>
              <w:rPr>
                <w:rFonts w:eastAsia="宋体"/>
                <w:sz w:val="19"/>
              </w:rPr>
              <w:t>12GB</w:t>
            </w:r>
          </w:p>
        </w:tc>
        <w:tc>
          <w:tcPr>
            <w:tcW w:type="dxa" w:w="2448"/>
            <w:tcMar>
              <w:top w:w="100" w:type="dxa"/>
              <w:bottom w:w="100" w:type="dxa"/>
              <w:left w:w="120" w:type="dxa"/>
              <w:right w:w="120" w:type="dxa"/>
            </w:tcMar>
          </w:tcPr>
          <w:p>
            <w:pPr>
              <w:spacing w:after="0" w:before="0" w:line="264" w:lineRule="auto"/>
            </w:pPr>
            <w:r>
              <w:rPr>
                <w:rFonts w:eastAsia="宋体"/>
                <w:sz w:val="19"/>
              </w:rPr>
              <w:t>负库存 / 超产能</w:t>
            </w:r>
          </w:p>
        </w:tc>
      </w:tr>
      <w:tr>
        <w:tc>
          <w:tcPr>
            <w:tcW w:type="dxa" w:w="2160"/>
            <w:tcMar>
              <w:top w:w="100" w:type="dxa"/>
              <w:bottom w:w="100" w:type="dxa"/>
              <w:left w:w="120" w:type="dxa"/>
              <w:right w:w="120" w:type="dxa"/>
            </w:tcMar>
            <w:shd w:val="clear" w:color="auto" w:fill="E8F4FD"/>
          </w:tcPr>
          <w:p>
            <w:pPr>
              <w:spacing w:after="0" w:before="0" w:line="264" w:lineRule="auto"/>
            </w:pPr>
            <w:r>
              <w:rPr>
                <w:rFonts w:eastAsia="宋体"/>
                <w:b/>
                <w:color w:val="004085"/>
                <w:sz w:val="19"/>
              </w:rPr>
              <w:t>IPC 物理 AI</w:t>
            </w:r>
          </w:p>
        </w:tc>
        <w:tc>
          <w:tcPr>
            <w:tcW w:type="dxa" w:w="2160"/>
            <w:tcMar>
              <w:top w:w="100" w:type="dxa"/>
              <w:bottom w:w="100" w:type="dxa"/>
              <w:left w:w="120" w:type="dxa"/>
              <w:right w:w="120" w:type="dxa"/>
            </w:tcMar>
            <w:shd w:val="clear" w:color="auto" w:fill="E8F4FD"/>
          </w:tcPr>
          <w:p>
            <w:pPr>
              <w:spacing w:after="0" w:before="0" w:line="264" w:lineRule="auto"/>
            </w:pPr>
            <w:r>
              <w:rPr>
                <w:rFonts w:eastAsia="宋体"/>
                <w:b/>
                <w:color w:val="004085"/>
                <w:sz w:val="19"/>
              </w:rPr>
              <w:t>近似最优</w:t>
            </w:r>
          </w:p>
        </w:tc>
        <w:tc>
          <w:tcPr>
            <w:tcW w:type="dxa" w:w="1152"/>
            <w:tcMar>
              <w:top w:w="100" w:type="dxa"/>
              <w:bottom w:w="100" w:type="dxa"/>
              <w:left w:w="120" w:type="dxa"/>
              <w:right w:w="120" w:type="dxa"/>
            </w:tcMar>
            <w:shd w:val="clear" w:color="auto" w:fill="E8F4FD"/>
          </w:tcPr>
          <w:p>
            <w:pPr>
              <w:spacing w:after="0" w:before="0" w:line="264" w:lineRule="auto"/>
            </w:pPr>
            <w:r>
              <w:rPr>
                <w:rFonts w:eastAsia="宋体"/>
                <w:b/>
                <w:color w:val="004085"/>
                <w:sz w:val="19"/>
              </w:rPr>
              <w:t>296s</w:t>
            </w:r>
          </w:p>
        </w:tc>
        <w:tc>
          <w:tcPr>
            <w:tcW w:type="dxa" w:w="1440"/>
            <w:tcMar>
              <w:top w:w="100" w:type="dxa"/>
              <w:bottom w:w="100" w:type="dxa"/>
              <w:left w:w="120" w:type="dxa"/>
              <w:right w:w="120" w:type="dxa"/>
            </w:tcMar>
            <w:shd w:val="clear" w:color="auto" w:fill="E8F4FD"/>
          </w:tcPr>
          <w:p>
            <w:pPr>
              <w:spacing w:after="0" w:before="0" w:line="264" w:lineRule="auto"/>
            </w:pPr>
            <w:r>
              <w:rPr>
                <w:rFonts w:eastAsia="宋体"/>
                <w:b/>
                <w:color w:val="004085"/>
                <w:sz w:val="19"/>
              </w:rPr>
              <w:t>8.4GB</w:t>
            </w:r>
          </w:p>
        </w:tc>
        <w:tc>
          <w:tcPr>
            <w:tcW w:type="dxa" w:w="2448"/>
            <w:tcMar>
              <w:top w:w="100" w:type="dxa"/>
              <w:bottom w:w="100" w:type="dxa"/>
              <w:left w:w="120" w:type="dxa"/>
              <w:right w:w="120" w:type="dxa"/>
            </w:tcMar>
            <w:shd w:val="clear" w:color="auto" w:fill="E8F4FD"/>
          </w:tcPr>
          <w:p>
            <w:pPr>
              <w:spacing w:after="0" w:before="0" w:line="264" w:lineRule="auto"/>
            </w:pPr>
            <w:r>
              <w:rPr>
                <w:rFonts w:eastAsia="宋体"/>
                <w:b/>
                <w:color w:val="004085"/>
                <w:sz w:val="19"/>
              </w:rPr>
              <w:t>零违约（松弛下界 gap &lt; 1.2%）</w:t>
            </w:r>
          </w:p>
        </w:tc>
      </w:tr>
    </w:tbl>
    <w:p>
      <w:pPr>
        <w:spacing w:before="80" w:after="120"/>
      </w:pPr>
      <w:r>
        <w:rPr>
          <w:rFonts w:eastAsia="宋体"/>
          <w:color w:val="666666"/>
          <w:sz w:val="17"/>
        </w:rPr>
        <w:t>*注：全量 50 万需求单、同一 BOM/工艺/库存初值、同一硬性约束（产能、齐套、交期、契约），同一时间窗；Gurobi 采用标准 MILP 建模、默认参数与合理时间片，APS/LLM 按公开最佳实践配置；所有实验在双路 AMD EPYC 7763、256GB RAM、相同 OS 下完成。IPC 不依赖人工事后修单。</w:t>
      </w:r>
    </w:p>
    <w:p>
      <w:pPr>
        <w:spacing w:after="120" w:line="288" w:lineRule="auto"/>
        <w:ind w:firstLine="440"/>
      </w:pPr>
      <w:r>
        <w:rPr>
          <w:rFonts w:eastAsia="黑体"/>
          <w:b/>
          <w:sz w:val="21"/>
        </w:rPr>
        <w:t>Scaling 说明：</w:t>
      </w:r>
      <w:r>
        <w:rPr>
          <w:rFonts w:eastAsia="宋体"/>
          <w:sz w:val="21"/>
        </w:rPr>
        <w:t>Scaling 说明：10 万单 20.4s、50 万单 296s，规模 5 倍而耗时增约 14.5 倍，运行时间仍远低于二次；额外常数主要来自超大规模稀疏张量越过 L3 Cache 后的内存带宽与 NUMA 访问，不改变 $O(N \log N)$ 的渐近结论。</w:t>
      </w:r>
    </w:p>
    <w:p>
      <w:pPr>
        <w:keepNext/>
        <w:spacing w:before="240" w:after="80"/>
      </w:pPr>
      <w:r>
        <w:rPr>
          <w:rFonts w:ascii="Times New Roman" w:hAnsi="Times New Roman" w:eastAsia="黑体"/>
          <w:b/>
          <w:color w:val="222222"/>
          <w:sz w:val="24"/>
        </w:rPr>
        <w:t>4.3 三个自然观测案例</w:t>
      </w:r>
    </w:p>
    <w:p>
      <w:pPr>
        <w:spacing w:before="160" w:after="80"/>
      </w:pPr>
      <w:r>
        <w:rPr>
          <w:rFonts w:eastAsia="黑体"/>
          <w:b/>
        </w:rPr>
        <w:t>表 2：三个自然观测案例对比表</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1560"/>
        <w:gridCol w:w="1560"/>
        <w:gridCol w:w="1560"/>
        <w:gridCol w:w="1560"/>
        <w:gridCol w:w="1560"/>
        <w:gridCol w:w="1560"/>
      </w:tblGrid>
      <w:tr>
        <w:tc>
          <w:tcPr>
            <w:tcW w:type="dxa" w:w="1440"/>
            <w:tcMar>
              <w:top w:w="100" w:type="dxa"/>
              <w:bottom w:w="100" w:type="dxa"/>
              <w:left w:w="120" w:type="dxa"/>
              <w:right w:w="120" w:type="dxa"/>
            </w:tcMar>
            <w:shd w:val="clear" w:color="auto" w:fill="EAECEF"/>
          </w:tcPr>
          <w:p>
            <w:pPr>
              <w:spacing w:after="0" w:before="0" w:line="264" w:lineRule="auto"/>
            </w:pPr>
            <w:r>
              <w:rPr>
                <w:rFonts w:eastAsia="黑体"/>
                <w:b/>
                <w:sz w:val="19"/>
              </w:rPr>
              <w:t>案例分组</w:t>
            </w:r>
          </w:p>
        </w:tc>
        <w:tc>
          <w:tcPr>
            <w:tcW w:type="dxa" w:w="2592"/>
            <w:tcMar>
              <w:top w:w="100" w:type="dxa"/>
              <w:bottom w:w="100" w:type="dxa"/>
              <w:left w:w="120" w:type="dxa"/>
              <w:right w:w="120" w:type="dxa"/>
            </w:tcMar>
            <w:shd w:val="clear" w:color="auto" w:fill="EAECEF"/>
          </w:tcPr>
          <w:p>
            <w:pPr>
              <w:spacing w:after="0" w:before="0" w:line="264" w:lineRule="auto"/>
            </w:pPr>
            <w:r>
              <w:rPr>
                <w:rFonts w:eastAsia="黑体"/>
                <w:b/>
                <w:sz w:val="19"/>
              </w:rPr>
              <w:t>治理结构</w:t>
            </w:r>
          </w:p>
        </w:tc>
        <w:tc>
          <w:tcPr>
            <w:tcW w:type="dxa" w:w="1152"/>
            <w:tcMar>
              <w:top w:w="100" w:type="dxa"/>
              <w:bottom w:w="100" w:type="dxa"/>
              <w:left w:w="120" w:type="dxa"/>
              <w:right w:w="120" w:type="dxa"/>
            </w:tcMar>
            <w:shd w:val="clear" w:color="auto" w:fill="EAECEF"/>
          </w:tcPr>
          <w:p>
            <w:pPr>
              <w:spacing w:after="0" w:before="0" w:line="264" w:lineRule="auto"/>
            </w:pPr>
            <w:r>
              <w:rPr>
                <w:rFonts w:eastAsia="黑体"/>
                <w:b/>
                <w:sz w:val="19"/>
              </w:rPr>
              <w:t>ROIC</w:t>
            </w:r>
          </w:p>
        </w:tc>
        <w:tc>
          <w:tcPr>
            <w:tcW w:type="dxa" w:w="1440"/>
            <w:tcMar>
              <w:top w:w="100" w:type="dxa"/>
              <w:bottom w:w="100" w:type="dxa"/>
              <w:left w:w="120" w:type="dxa"/>
              <w:right w:w="120" w:type="dxa"/>
            </w:tcMar>
            <w:shd w:val="clear" w:color="auto" w:fill="EAECEF"/>
          </w:tcPr>
          <w:p>
            <w:pPr>
              <w:spacing w:after="0" w:before="0" w:line="264" w:lineRule="auto"/>
            </w:pPr>
            <w:r>
              <w:rPr>
                <w:rFonts w:eastAsia="黑体"/>
                <w:b/>
                <w:sz w:val="19"/>
              </w:rPr>
              <w:t>OTD 交付率</w:t>
            </w:r>
          </w:p>
        </w:tc>
        <w:tc>
          <w:tcPr>
            <w:tcW w:type="dxa" w:w="1440"/>
            <w:tcMar>
              <w:top w:w="100" w:type="dxa"/>
              <w:bottom w:w="100" w:type="dxa"/>
              <w:left w:w="120" w:type="dxa"/>
              <w:right w:w="120" w:type="dxa"/>
            </w:tcMar>
            <w:shd w:val="clear" w:color="auto" w:fill="EAECEF"/>
          </w:tcPr>
          <w:p>
            <w:pPr>
              <w:spacing w:after="0" w:before="0" w:line="264" w:lineRule="auto"/>
            </w:pPr>
            <w:r>
              <w:rPr>
                <w:rFonts w:eastAsia="黑体"/>
                <w:b/>
                <w:sz w:val="19"/>
              </w:rPr>
              <w:t>库存周转天数</w:t>
            </w:r>
          </w:p>
        </w:tc>
        <w:tc>
          <w:tcPr>
            <w:tcW w:type="dxa" w:w="1296"/>
            <w:tcMar>
              <w:top w:w="100" w:type="dxa"/>
              <w:bottom w:w="100" w:type="dxa"/>
              <w:left w:w="120" w:type="dxa"/>
              <w:right w:w="120" w:type="dxa"/>
            </w:tcMar>
            <w:shd w:val="clear" w:color="auto" w:fill="EAECEF"/>
          </w:tcPr>
          <w:p>
            <w:pPr>
              <w:spacing w:after="0" w:before="0" w:line="264" w:lineRule="auto"/>
            </w:pPr>
            <w:r>
              <w:rPr>
                <w:rFonts w:eastAsia="黑体"/>
                <w:b/>
                <w:sz w:val="19"/>
              </w:rPr>
              <w:t>月均停线频次</w:t>
            </w:r>
          </w:p>
        </w:tc>
      </w:tr>
      <w:tr>
        <w:tc>
          <w:tcPr>
            <w:tcW w:type="dxa" w:w="1440"/>
            <w:tcMar>
              <w:top w:w="100" w:type="dxa"/>
              <w:bottom w:w="100" w:type="dxa"/>
              <w:left w:w="120" w:type="dxa"/>
              <w:right w:w="120" w:type="dxa"/>
            </w:tcMar>
            <w:shd w:val="clear" w:color="auto" w:fill="EBFEEF"/>
          </w:tcPr>
          <w:p>
            <w:pPr>
              <w:spacing w:after="0" w:before="0" w:line="264" w:lineRule="auto"/>
            </w:pPr>
            <w:r>
              <w:rPr>
                <w:rFonts w:eastAsia="宋体"/>
                <w:b/>
                <w:color w:val="155724"/>
                <w:sz w:val="19"/>
              </w:rPr>
              <w:t>A 存续</w:t>
            </w:r>
          </w:p>
        </w:tc>
        <w:tc>
          <w:tcPr>
            <w:tcW w:type="dxa" w:w="2592"/>
            <w:tcMar>
              <w:top w:w="100" w:type="dxa"/>
              <w:bottom w:w="100" w:type="dxa"/>
              <w:left w:w="120" w:type="dxa"/>
              <w:right w:w="120" w:type="dxa"/>
            </w:tcMar>
            <w:shd w:val="clear" w:color="auto" w:fill="EBFEEF"/>
          </w:tcPr>
          <w:p>
            <w:pPr>
              <w:spacing w:after="0" w:before="0" w:line="264" w:lineRule="auto"/>
            </w:pPr>
            <w:r>
              <w:rPr>
                <w:rFonts w:eastAsia="宋体"/>
                <w:b/>
                <w:color w:val="155724"/>
                <w:sz w:val="19"/>
              </w:rPr>
              <w:t>结构完整，接班维护</w:t>
            </w:r>
          </w:p>
        </w:tc>
        <w:tc>
          <w:tcPr>
            <w:tcW w:type="dxa" w:w="1152"/>
            <w:tcMar>
              <w:top w:w="100" w:type="dxa"/>
              <w:bottom w:w="100" w:type="dxa"/>
              <w:left w:w="120" w:type="dxa"/>
              <w:right w:w="120" w:type="dxa"/>
            </w:tcMar>
            <w:shd w:val="clear" w:color="auto" w:fill="EBFEEF"/>
          </w:tcPr>
          <w:p>
            <w:pPr>
              <w:spacing w:after="0" w:before="0" w:line="264" w:lineRule="auto"/>
            </w:pPr>
            <w:r>
              <w:rPr>
                <w:rFonts w:eastAsia="宋体"/>
                <w:b/>
                <w:color w:val="155724"/>
                <w:sz w:val="19"/>
              </w:rPr>
              <w:t>+4.2%</w:t>
            </w:r>
          </w:p>
        </w:tc>
        <w:tc>
          <w:tcPr>
            <w:tcW w:type="dxa" w:w="1440"/>
            <w:tcMar>
              <w:top w:w="100" w:type="dxa"/>
              <w:bottom w:w="100" w:type="dxa"/>
              <w:left w:w="120" w:type="dxa"/>
              <w:right w:w="120" w:type="dxa"/>
            </w:tcMar>
            <w:shd w:val="clear" w:color="auto" w:fill="EBFEEF"/>
          </w:tcPr>
          <w:p>
            <w:pPr>
              <w:spacing w:after="0" w:before="0" w:line="264" w:lineRule="auto"/>
            </w:pPr>
            <w:r>
              <w:rPr>
                <w:rFonts w:eastAsia="宋体"/>
                <w:b/>
                <w:color w:val="155724"/>
                <w:sz w:val="19"/>
              </w:rPr>
              <w:t>98.4%</w:t>
            </w:r>
          </w:p>
        </w:tc>
        <w:tc>
          <w:tcPr>
            <w:tcW w:type="dxa" w:w="1440"/>
            <w:tcMar>
              <w:top w:w="100" w:type="dxa"/>
              <w:bottom w:w="100" w:type="dxa"/>
              <w:left w:w="120" w:type="dxa"/>
              <w:right w:w="120" w:type="dxa"/>
            </w:tcMar>
            <w:shd w:val="clear" w:color="auto" w:fill="EBFEEF"/>
          </w:tcPr>
          <w:p>
            <w:pPr>
              <w:spacing w:after="0" w:before="0" w:line="264" w:lineRule="auto"/>
            </w:pPr>
            <w:r>
              <w:rPr>
                <w:rFonts w:eastAsia="宋体"/>
                <w:b/>
                <w:color w:val="155724"/>
                <w:sz w:val="19"/>
              </w:rPr>
              <w:t>14.2 天</w:t>
            </w:r>
          </w:p>
        </w:tc>
        <w:tc>
          <w:tcPr>
            <w:tcW w:type="dxa" w:w="1296"/>
            <w:tcMar>
              <w:top w:w="100" w:type="dxa"/>
              <w:bottom w:w="100" w:type="dxa"/>
              <w:left w:w="120" w:type="dxa"/>
              <w:right w:w="120" w:type="dxa"/>
            </w:tcMar>
            <w:shd w:val="clear" w:color="auto" w:fill="EBFEEF"/>
          </w:tcPr>
          <w:p>
            <w:pPr>
              <w:spacing w:after="0" w:before="0" w:line="264" w:lineRule="auto"/>
            </w:pPr>
            <w:r>
              <w:rPr>
                <w:rFonts w:eastAsia="宋体"/>
                <w:b/>
                <w:color w:val="155724"/>
                <w:sz w:val="19"/>
              </w:rPr>
              <w:t>&lt; 2 次</w:t>
            </w:r>
          </w:p>
        </w:tc>
      </w:tr>
      <w:tr>
        <w:tc>
          <w:tcPr>
            <w:tcW w:type="dxa" w:w="1440"/>
            <w:tcMar>
              <w:top w:w="100" w:type="dxa"/>
              <w:bottom w:w="100" w:type="dxa"/>
              <w:left w:w="120" w:type="dxa"/>
              <w:right w:w="120" w:type="dxa"/>
            </w:tcMar>
          </w:tcPr>
          <w:p>
            <w:pPr>
              <w:spacing w:after="0" w:before="0" w:line="264" w:lineRule="auto"/>
            </w:pPr>
            <w:r>
              <w:rPr>
                <w:rFonts w:eastAsia="宋体"/>
                <w:sz w:val="19"/>
              </w:rPr>
              <w:t>B 离体</w:t>
            </w:r>
          </w:p>
        </w:tc>
        <w:tc>
          <w:tcPr>
            <w:tcW w:type="dxa" w:w="2592"/>
            <w:tcMar>
              <w:top w:w="100" w:type="dxa"/>
              <w:bottom w:w="100" w:type="dxa"/>
              <w:left w:w="120" w:type="dxa"/>
              <w:right w:w="120" w:type="dxa"/>
            </w:tcMar>
          </w:tcPr>
          <w:p>
            <w:pPr>
              <w:spacing w:after="0" w:before="0" w:line="264" w:lineRule="auto"/>
            </w:pPr>
            <w:r>
              <w:rPr>
                <w:rFonts w:eastAsia="宋体"/>
                <w:sz w:val="19"/>
              </w:rPr>
              <w:t>骨干外迁，异构重建</w:t>
            </w:r>
          </w:p>
        </w:tc>
        <w:tc>
          <w:tcPr>
            <w:tcW w:type="dxa" w:w="1152"/>
            <w:tcMar>
              <w:top w:w="100" w:type="dxa"/>
              <w:bottom w:w="100" w:type="dxa"/>
              <w:left w:w="120" w:type="dxa"/>
              <w:right w:w="120" w:type="dxa"/>
            </w:tcMar>
          </w:tcPr>
          <w:p>
            <w:pPr>
              <w:spacing w:after="0" w:before="0" w:line="264" w:lineRule="auto"/>
            </w:pPr>
            <w:r>
              <w:rPr>
                <w:rFonts w:eastAsia="宋体"/>
                <w:sz w:val="19"/>
              </w:rPr>
              <w:t>-2.1%</w:t>
            </w:r>
          </w:p>
        </w:tc>
        <w:tc>
          <w:tcPr>
            <w:tcW w:type="dxa" w:w="1440"/>
            <w:tcMar>
              <w:top w:w="100" w:type="dxa"/>
              <w:bottom w:w="100" w:type="dxa"/>
              <w:left w:w="120" w:type="dxa"/>
              <w:right w:w="120" w:type="dxa"/>
            </w:tcMar>
          </w:tcPr>
          <w:p>
            <w:pPr>
              <w:spacing w:after="0" w:before="0" w:line="264" w:lineRule="auto"/>
            </w:pPr>
            <w:r>
              <w:rPr>
                <w:rFonts w:eastAsia="宋体"/>
                <w:sz w:val="19"/>
              </w:rPr>
              <w:t>84.1%</w:t>
            </w:r>
          </w:p>
        </w:tc>
        <w:tc>
          <w:tcPr>
            <w:tcW w:type="dxa" w:w="1440"/>
            <w:tcMar>
              <w:top w:w="100" w:type="dxa"/>
              <w:bottom w:w="100" w:type="dxa"/>
              <w:left w:w="120" w:type="dxa"/>
              <w:right w:w="120" w:type="dxa"/>
            </w:tcMar>
          </w:tcPr>
          <w:p>
            <w:pPr>
              <w:spacing w:after="0" w:before="0" w:line="264" w:lineRule="auto"/>
            </w:pPr>
            <w:r>
              <w:rPr>
                <w:rFonts w:eastAsia="宋体"/>
                <w:sz w:val="19"/>
              </w:rPr>
              <w:t>28.6 天</w:t>
            </w:r>
          </w:p>
        </w:tc>
        <w:tc>
          <w:tcPr>
            <w:tcW w:type="dxa" w:w="1296"/>
            <w:tcMar>
              <w:top w:w="100" w:type="dxa"/>
              <w:bottom w:w="100" w:type="dxa"/>
              <w:left w:w="120" w:type="dxa"/>
              <w:right w:w="120" w:type="dxa"/>
            </w:tcMar>
          </w:tcPr>
          <w:p>
            <w:pPr>
              <w:spacing w:after="0" w:before="0" w:line="264" w:lineRule="auto"/>
            </w:pPr>
            <w:r>
              <w:rPr>
                <w:rFonts w:eastAsia="宋体"/>
                <w:sz w:val="19"/>
              </w:rPr>
              <w:t>&gt; 15 次</w:t>
            </w:r>
          </w:p>
        </w:tc>
      </w:tr>
      <w:tr>
        <w:tc>
          <w:tcPr>
            <w:tcW w:type="dxa" w:w="1440"/>
            <w:tcMar>
              <w:top w:w="100" w:type="dxa"/>
              <w:bottom w:w="100" w:type="dxa"/>
              <w:left w:w="120" w:type="dxa"/>
              <w:right w:w="120" w:type="dxa"/>
            </w:tcMar>
          </w:tcPr>
          <w:p>
            <w:pPr>
              <w:spacing w:after="0" w:before="0" w:line="264" w:lineRule="auto"/>
            </w:pPr>
            <w:r>
              <w:rPr>
                <w:rFonts w:eastAsia="宋体"/>
                <w:sz w:val="19"/>
              </w:rPr>
              <w:t>C 退化</w:t>
            </w:r>
          </w:p>
        </w:tc>
        <w:tc>
          <w:tcPr>
            <w:tcW w:type="dxa" w:w="2592"/>
            <w:tcMar>
              <w:top w:w="100" w:type="dxa"/>
              <w:bottom w:w="100" w:type="dxa"/>
              <w:left w:w="120" w:type="dxa"/>
              <w:right w:w="120" w:type="dxa"/>
            </w:tcMar>
          </w:tcPr>
          <w:p>
            <w:pPr>
              <w:spacing w:after="0" w:before="0" w:line="264" w:lineRule="auto"/>
            </w:pPr>
            <w:r>
              <w:rPr>
                <w:rFonts w:eastAsia="宋体"/>
                <w:sz w:val="19"/>
              </w:rPr>
              <w:t>退回科层分块 S&amp;OP</w:t>
            </w:r>
          </w:p>
        </w:tc>
        <w:tc>
          <w:tcPr>
            <w:tcW w:type="dxa" w:w="1152"/>
            <w:tcMar>
              <w:top w:w="100" w:type="dxa"/>
              <w:bottom w:w="100" w:type="dxa"/>
              <w:left w:w="120" w:type="dxa"/>
              <w:right w:w="120" w:type="dxa"/>
            </w:tcMar>
          </w:tcPr>
          <w:p>
            <w:pPr>
              <w:spacing w:after="0" w:before="0" w:line="264" w:lineRule="auto"/>
            </w:pPr>
            <w:r>
              <w:rPr>
                <w:rFonts w:eastAsia="宋体"/>
                <w:sz w:val="19"/>
              </w:rPr>
              <w:t>-5.8%</w:t>
            </w:r>
          </w:p>
        </w:tc>
        <w:tc>
          <w:tcPr>
            <w:tcW w:type="dxa" w:w="1440"/>
            <w:tcMar>
              <w:top w:w="100" w:type="dxa"/>
              <w:bottom w:w="100" w:type="dxa"/>
              <w:left w:w="120" w:type="dxa"/>
              <w:right w:w="120" w:type="dxa"/>
            </w:tcMar>
          </w:tcPr>
          <w:p>
            <w:pPr>
              <w:spacing w:after="0" w:before="0" w:line="264" w:lineRule="auto"/>
            </w:pPr>
            <w:r>
              <w:rPr>
                <w:rFonts w:eastAsia="宋体"/>
                <w:sz w:val="19"/>
              </w:rPr>
              <w:t>79.5%</w:t>
            </w:r>
          </w:p>
        </w:tc>
        <w:tc>
          <w:tcPr>
            <w:tcW w:type="dxa" w:w="1440"/>
            <w:tcMar>
              <w:top w:w="100" w:type="dxa"/>
              <w:bottom w:w="100" w:type="dxa"/>
              <w:left w:w="120" w:type="dxa"/>
              <w:right w:w="120" w:type="dxa"/>
            </w:tcMar>
          </w:tcPr>
          <w:p>
            <w:pPr>
              <w:spacing w:after="0" w:before="0" w:line="264" w:lineRule="auto"/>
            </w:pPr>
            <w:r>
              <w:rPr>
                <w:rFonts w:eastAsia="宋体"/>
                <w:sz w:val="19"/>
              </w:rPr>
              <w:t>36.1 天</w:t>
            </w:r>
          </w:p>
        </w:tc>
        <w:tc>
          <w:tcPr>
            <w:tcW w:type="dxa" w:w="1296"/>
            <w:tcMar>
              <w:top w:w="100" w:type="dxa"/>
              <w:bottom w:w="100" w:type="dxa"/>
              <w:left w:w="120" w:type="dxa"/>
              <w:right w:w="120" w:type="dxa"/>
            </w:tcMar>
          </w:tcPr>
          <w:p>
            <w:pPr>
              <w:spacing w:after="0" w:before="0" w:line="264" w:lineRule="auto"/>
            </w:pPr>
            <w:r>
              <w:rPr>
                <w:rFonts w:eastAsia="宋体"/>
                <w:sz w:val="19"/>
              </w:rPr>
              <w:t>&gt; 22 次</w:t>
            </w:r>
          </w:p>
        </w:tc>
      </w:tr>
    </w:tbl>
    <w:p>
      <w:pPr>
        <w:spacing w:after="120" w:line="288" w:lineRule="auto"/>
        <w:ind w:firstLine="440"/>
      </w:pPr>
      <w:r>
        <w:rPr>
          <w:rFonts w:eastAsia="黑体"/>
          <w:b/>
          <w:sz w:val="21"/>
        </w:rPr>
        <w:t>选择偏差说明：</w:t>
      </w:r>
      <w:r>
        <w:rPr>
          <w:rFonts w:eastAsia="宋体"/>
          <w:sz w:val="21"/>
        </w:rPr>
        <w:t>选择偏差说明：IPC 试点优先部署于复杂度高、交期差的产线，故 A 组改善可能含均值回归成分。本文以产线自身前后对照 + 同厂未覆盖产线为参考组，多维指标方向一致；脱敏聚合数据可在签署 NDA 后供评审复核。本表为纵向自然观测而非随机试验，结论表述为“验证”而非“因果识别”。</w:t>
      </w:r>
    </w:p>
    <w:p>
      <w:pPr>
        <w:keepNext/>
        <w:spacing w:before="320" w:after="120"/>
      </w:pPr>
      <w:r>
        <w:rPr>
          <w:rFonts w:ascii="Times New Roman" w:hAnsi="Times New Roman" w:eastAsia="黑体"/>
          <w:b/>
          <w:color w:val="111111"/>
          <w:sz w:val="28"/>
        </w:rPr>
        <w:t>5. 架构治理：三位一体能力与医学院模式</w:t>
      </w:r>
    </w:p>
    <w:p>
      <w:pPr>
        <w:spacing w:after="80"/>
        <w:ind w:left="360"/>
      </w:pPr>
      <w:r>
        <w:rPr>
          <w:rFonts w:eastAsia="黑体"/>
          <w:b/>
        </w:rPr>
        <w:t>•  人机分工（定律八 + 定律二）：</w:t>
      </w:r>
      <w:r>
        <w:rPr>
          <w:rFonts w:eastAsia="宋体"/>
        </w:rPr>
        <w:t>碳基大脑负责定界与立法（第一性原理、安全红线、公理重写）；硅基系统在刚性约束流形内代偿人脑带宽，执行剪枝与自动化反写。</w:t>
      </w:r>
    </w:p>
    <w:p>
      <w:pPr>
        <w:spacing w:after="80"/>
        <w:ind w:left="360"/>
      </w:pPr>
      <w:r>
        <w:rPr>
          <w:rFonts w:eastAsia="黑体"/>
          <w:b/>
        </w:rPr>
        <w:t>•  三位一体融合架构能力（定律四）：</w:t>
      </w:r>
      <w:r>
        <w:rPr>
          <w:rFonts w:eastAsia="宋体"/>
        </w:rPr>
        <w:t>传统科层切块无法应对 Non-IID 强耦合，企业必须建立全局自洽的数据—算法中枢。三位一体能力：① 业务解码能力（穿透流程，构建微观要素有向因果图谱）；② 系统建模能力（映射为五维可收敛状态流形）；③ 闭环协同与反写能力（指令自动化反写物理产线，偏差驱动自愈）。</w:t>
      </w:r>
    </w:p>
    <w:p>
      <w:pPr>
        <w:spacing w:after="80"/>
        <w:ind w:left="360"/>
      </w:pPr>
      <w:r>
        <w:rPr>
          <w:rFonts w:eastAsia="黑体"/>
          <w:b/>
        </w:rPr>
        <w:t>•  医学院模式：</w:t>
      </w:r>
      <w:r>
        <w:rPr>
          <w:rFonts w:eastAsia="宋体"/>
        </w:rPr>
        <w:t>① 完全开箱（Open-Box）交付可编译代码；② 双重团队培养（业务 + 算法）；③ 赋予企业长期抗熵与自愈的数字主权。它与“卖黑盒、按年订阅”的传统模式根本对立。</w:t>
      </w:r>
    </w:p>
    <w:p>
      <w:pPr>
        <w:keepNext/>
        <w:spacing w:before="320" w:after="120"/>
      </w:pPr>
      <w:r>
        <w:rPr>
          <w:rFonts w:ascii="Times New Roman" w:hAnsi="Times New Roman" w:eastAsia="黑体"/>
          <w:b/>
          <w:color w:val="111111"/>
          <w:sz w:val="28"/>
        </w:rPr>
        <w:t>6. 结论</w:t>
      </w:r>
    </w:p>
    <w:p>
      <w:pPr>
        <w:spacing w:after="120" w:line="288" w:lineRule="auto"/>
        <w:ind w:firstLine="440"/>
      </w:pPr>
      <w:r>
        <w:rPr>
          <w:rFonts w:eastAsia="宋体"/>
          <w:sz w:val="21"/>
        </w:rPr>
        <w:t>资本回报悖论的根源，在于用 IID 旧范式求解 Non-IID 新物理。本文提出并形式化了从目的论到进化论的八大物理定律，形式化了矢量相消定理与协调废热度量，以刚性剪枝实现复杂度降维与有限步收敛；22 年纵向证据与同构硬件基准共同表明，IPC 引擎可在标准服务器上 296 秒闭环消纳 50 万订单。管理启示是：数字化转型的本质不是购买软件，而是建立以数据模型与业务算法为核心的算法治理体系，重构组织边界。</w:t>
      </w:r>
    </w:p>
    <w:p>
      <w:pPr>
        <w:spacing w:after="120" w:line="288" w:lineRule="auto"/>
        <w:ind w:firstLine="440"/>
      </w:pPr>
      <w:r>
        <w:rPr>
          <w:rFonts w:eastAsia="黑体"/>
          <w:b/>
          <w:sz w:val="21"/>
        </w:rPr>
        <w:t>局限与展望：</w:t>
      </w:r>
      <w:r>
        <w:rPr>
          <w:rFonts w:eastAsia="宋体"/>
          <w:sz w:val="21"/>
        </w:rPr>
        <w:t>局限与展望：本文聚焦离散制造，未来拓展至流程—离散混合与跨国贸易合规网状调度；八律中的能力论、进化论形式化仍需更大样本的实证检验。</w:t>
      </w:r>
    </w:p>
    <w:p>
      <w:pPr>
        <w:keepNext/>
        <w:spacing w:before="320" w:after="120"/>
      </w:pPr>
      <w:r>
        <w:rPr>
          <w:rFonts w:ascii="Times New Roman" w:hAnsi="Times New Roman" w:eastAsia="黑体"/>
          <w:b/>
          <w:color w:val="111111"/>
          <w:sz w:val="28"/>
        </w:rPr>
        <w:t>附录 A：核心证明</w:t>
      </w:r>
    </w:p>
    <w:p>
      <w:pPr>
        <w:spacing w:after="80"/>
        <w:ind w:left="360"/>
      </w:pPr>
      <w:r>
        <w:rPr>
          <w:rFonts w:eastAsia="黑体"/>
          <w:b/>
        </w:rPr>
        <w:t>•  定理 1 证明：</w:t>
      </w:r>
      <w:r>
        <w:rPr>
          <w:rFonts w:eastAsia="宋体"/>
        </w:rPr>
        <w:t>由范数展开：$\|\sum_k \mathbf{u}_k\|^2 = \sum_k\|\mathbf{u}_k\|^2 + 2\sum_{i&lt;j}\langle\mathbf{u}_i,\mathbf{u}_j\rangle$。若所有对内积满足 $\langle\mathbf{u}_i,\mathbf{u}_j\rangle \le -\epsilon$（$\epsilon &gt; 0$），则 $\|\sum_k \mathbf{u}_k\|^2 \le \sum \|\mathbf{u}_k\|^2 - 2\epsilon \binom{K}{2}$，故 $Q_{\diss} &gt; 0$。若仅部分内积为负，则仍按上式取实际交叉项和，$Q_{\diss} \ge 0$，等号仅当全非负共线。■</w:t>
      </w:r>
    </w:p>
    <w:p>
      <w:pPr>
        <w:spacing w:after="120"/>
        <w:ind w:left="360"/>
      </w:pPr>
      <w:r>
        <w:rPr>
          <w:rFonts w:eastAsia="黑体"/>
          <w:b/>
        </w:rPr>
        <w:t>•  有限步引理证明：</w:t>
      </w:r>
      <w:r>
        <w:rPr>
          <w:rFonts w:eastAsia="宋体"/>
        </w:rPr>
        <w:t>设加权失配范数取值于由物料分配整数性与容量离散化决定的有限网格 $\mathcal{G} \subset \mathcal{X}_{\text{feasible}}$，网格点数为 $|\mathcal{G}| &lt; \infty$。因 IPC 算法每次迭代严格减小失配范数（除非已达最优），故至多经 $|\mathcal{G}|$ 步后失配范数不再下降，算法终止。结合终止准则 $d(\mathbf{x}^{(n+1)}, \mathbf{x}^{(n)}) &lt; \epsilon$，收敛步数 $n^* \le |\mathcal{G}|$。■</w:t>
      </w:r>
    </w:p>
    <w:p>
      <w:pPr>
        <w:spacing w:after="240"/>
      </w:pPr>
      <w:r>
        <w:rPr>
          <w:rFonts w:eastAsia="宋体"/>
          <w:i/>
          <w:sz w:val="19"/>
        </w:rPr>
        <w:t>*其余收敛细节、伪代码与消融结果见 SSRN 预印本（Abstract ID 7251098）。*</w:t>
      </w:r>
    </w:p>
    <w:p>
      <w:pPr>
        <w:keepNext/>
        <w:spacing w:before="320" w:after="120"/>
      </w:pPr>
      <w:r>
        <w:rPr>
          <w:rFonts w:ascii="Times New Roman" w:hAnsi="Times New Roman" w:eastAsia="黑体"/>
          <w:b/>
          <w:color w:val="111111"/>
          <w:sz w:val="28"/>
        </w:rPr>
        <w:t>7. 声明与说明</w:t>
      </w:r>
    </w:p>
    <w:p>
      <w:pPr>
        <w:spacing w:after="80"/>
        <w:ind w:left="360"/>
      </w:pPr>
      <w:r>
        <w:rPr>
          <w:rFonts w:eastAsia="黑体"/>
          <w:b/>
        </w:rPr>
        <w:t>•  利益冲突与数据可用性：</w:t>
      </w:r>
      <w:r>
        <w:rPr>
          <w:rFonts w:eastAsia="宋体"/>
        </w:rPr>
        <w:t>本研究基于 22 年参与式纵向行动研究，仅将相关企业视为实践场与案例对象，回避单点企业评价；田野工作期间作者任职于相关企业，现为独立研究员/IPC总设计部。脱敏聚合指标与算法结构可按规定复核，原始商业数据因保密协议（NDA）限制按需提供。</w:t>
      </w:r>
    </w:p>
    <w:p>
      <w:pPr>
        <w:spacing w:after="240"/>
        <w:ind w:left="360"/>
      </w:pPr>
      <w:r>
        <w:rPr>
          <w:rFonts w:eastAsia="黑体"/>
          <w:b/>
        </w:rPr>
        <w:t>•  预印本说明：</w:t>
      </w:r>
      <w:r>
        <w:rPr>
          <w:rFonts w:eastAsia="宋体"/>
        </w:rPr>
        <w:t>本文内容与 SSRN 预印本（Abstract ID 7251098）保持一致，算法细节与消融实验详见预印本附录。</w:t>
      </w:r>
    </w:p>
    <w:p>
      <w:pPr>
        <w:keepNext/>
        <w:spacing w:before="320" w:after="120"/>
      </w:pPr>
      <w:r>
        <w:rPr>
          <w:rFonts w:ascii="Times New Roman" w:hAnsi="Times New Roman" w:eastAsia="黑体"/>
          <w:b/>
          <w:color w:val="111111"/>
          <w:sz w:val="28"/>
        </w:rPr>
        <w:t>参考文献</w:t>
      </w:r>
    </w:p>
    <w:p>
      <w:pPr>
        <w:spacing w:after="60" w:line="276" w:lineRule="auto"/>
        <w:ind w:left="360"/>
      </w:pPr>
      <w:r>
        <w:rPr>
          <w:b/>
          <w:sz w:val="19"/>
        </w:rPr>
        <w:t xml:space="preserve">[1] </w:t>
      </w:r>
      <w:r>
        <w:rPr>
          <w:rFonts w:eastAsia="宋体"/>
          <w:sz w:val="19"/>
        </w:rPr>
        <w:t>钱学森, 于景元, 戴汝为. 1990. "一个科学新领域——开放的复杂巨系统及其方法论." 自然杂志, 13(1), pp. 3-10.</w:t>
      </w:r>
    </w:p>
    <w:p>
      <w:pPr>
        <w:spacing w:after="60" w:line="276" w:lineRule="auto"/>
        <w:ind w:left="360"/>
      </w:pPr>
      <w:r>
        <w:rPr>
          <w:b/>
          <w:sz w:val="19"/>
        </w:rPr>
        <w:t xml:space="preserve">[2] </w:t>
      </w:r>
      <w:r>
        <w:rPr>
          <w:rFonts w:eastAsia="宋体"/>
          <w:sz w:val="19"/>
        </w:rPr>
        <w:t>Ashby, W. R. 1956. An Introduction to Cybernetics. Chapman &amp; Hall.</w:t>
      </w:r>
    </w:p>
    <w:p>
      <w:pPr>
        <w:spacing w:after="60" w:line="276" w:lineRule="auto"/>
        <w:ind w:left="360"/>
      </w:pPr>
      <w:r>
        <w:rPr>
          <w:b/>
          <w:sz w:val="19"/>
        </w:rPr>
        <w:t xml:space="preserve">[3] </w:t>
      </w:r>
      <w:r>
        <w:rPr>
          <w:rFonts w:eastAsia="宋体"/>
          <w:sz w:val="19"/>
        </w:rPr>
        <w:t>Brynjolfsson, E. 1993. "The productivity paradox of information technology." Communications of the ACM, 36(12), pp. 66-77.</w:t>
      </w:r>
    </w:p>
    <w:p>
      <w:pPr>
        <w:spacing w:after="60" w:line="276" w:lineRule="auto"/>
        <w:ind w:left="360"/>
      </w:pPr>
      <w:r>
        <w:rPr>
          <w:b/>
          <w:sz w:val="19"/>
        </w:rPr>
        <w:t xml:space="preserve">[4] </w:t>
      </w:r>
      <w:r>
        <w:rPr>
          <w:rFonts w:eastAsia="宋体"/>
          <w:sz w:val="19"/>
        </w:rPr>
        <w:t>Cao, L. 2014. "Non-IIDness learning in behavioral and social data." The Computer Journal, 57(9), pp. 1358-1370. https://doi.org/10.1093/comjnl/bxt084</w:t>
      </w:r>
    </w:p>
    <w:p>
      <w:pPr>
        <w:spacing w:after="60" w:line="276" w:lineRule="auto"/>
        <w:ind w:left="360"/>
      </w:pPr>
      <w:r>
        <w:rPr>
          <w:b/>
          <w:sz w:val="19"/>
        </w:rPr>
        <w:t xml:space="preserve">[5] </w:t>
      </w:r>
      <w:r>
        <w:rPr>
          <w:rFonts w:eastAsia="宋体"/>
          <w:sz w:val="19"/>
        </w:rPr>
        <w:t>Cao, L. 2022. "Beyond i.i.d.: Non-IID thinking, informatics, and learning." IEEE Intelligent Systems, 37(4), pp. 5-17. https://doi.org/10.1109/MIS.2022.3194618</w:t>
      </w:r>
    </w:p>
    <w:p>
      <w:pPr>
        <w:spacing w:after="60" w:line="276" w:lineRule="auto"/>
        <w:ind w:left="360"/>
      </w:pPr>
      <w:r>
        <w:rPr>
          <w:b/>
          <w:sz w:val="19"/>
        </w:rPr>
        <w:t xml:space="preserve">[6] </w:t>
      </w:r>
      <w:r>
        <w:rPr>
          <w:rFonts w:eastAsia="宋体"/>
          <w:sz w:val="19"/>
        </w:rPr>
        <w:t>Kalman, R. E. 1960. "On the general theory of control systems." Proceedings of the 1st IFAC Congress, Moscow.</w:t>
      </w:r>
    </w:p>
    <w:p>
      <w:pPr>
        <w:spacing w:after="60" w:line="276" w:lineRule="auto"/>
        <w:ind w:left="360"/>
      </w:pPr>
      <w:r>
        <w:rPr>
          <w:b/>
          <w:sz w:val="19"/>
        </w:rPr>
        <w:t xml:space="preserve">[7] </w:t>
      </w:r>
      <w:r>
        <w:rPr>
          <w:rFonts w:eastAsia="宋体"/>
          <w:sz w:val="19"/>
        </w:rPr>
        <w:t>Miller, G. A. 1956. "The magical number seven, plus or minus two: Some limits on our capacity for processing information." Psychological Review, 63(2), pp. 81-97.</w:t>
      </w:r>
    </w:p>
    <w:p>
      <w:pPr>
        <w:spacing w:after="60" w:line="276" w:lineRule="auto"/>
        <w:ind w:left="360"/>
      </w:pPr>
      <w:r>
        <w:rPr>
          <w:b/>
          <w:sz w:val="19"/>
        </w:rPr>
        <w:t xml:space="preserve">[8] </w:t>
      </w:r>
      <w:r>
        <w:rPr>
          <w:rFonts w:eastAsia="宋体"/>
          <w:sz w:val="19"/>
        </w:rPr>
        <w:t>Wolfram, S. 2002. A New Kind of Science. Wolfram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