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一种基于有向图并行段树与交叉替代分配的多级库存优化方法及系统</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本发明属于企业级库存计划与优化（IO）、多级安全库存优化（MEIO）、高级计划与排程（APS）、高性能并行计算以及无锁算法设计技术领域。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在多级分销与复杂离散制造的全球供应链网络中，库存计划与优化（IO，Inventory Optimization）是整个运营决策的压舱石。供应链通常包含原材料供应商、多级零部件加工厂、中央分拨中心（CDC）、以及多个区域分拨中心（RDC）等数以万计的网络节点。</w:t>
      </w:r>
    </w:p>
    <w:p>
      <w:pPr>
        <w:spacing w:after="120" w:line="276" w:lineRule="auto"/>
      </w:pPr>
      <w:r>
        <w:t>库存优化的核心目标是在保障客户目标服务水平（Service Level Target，如 98% 订单及时交付）的前提下，将全网的安全库存（Safety Stock）持有成本压降至最低，防范“爆仓”和“资金过度占用”风险。</w:t>
      </w:r>
    </w:p>
    <w:p>
      <w:pPr>
        <w:spacing w:after="120" w:line="276" w:lineRule="auto"/>
      </w:pPr>
      <w:r>
        <w:t>然而，现有的多级安全库存优化（MEIO）系统（如 SAP SmartOps、Llamasoft 等）在实际应用中面临极其严重的计算和业务瓶颈：</w:t>
      </w:r>
    </w:p>
    <w:p>
      <w:pPr>
        <w:pStyle w:val="ListBullet"/>
        <w:spacing w:after="60"/>
      </w:pPr>
      <w:r>
        <w:rPr>
          <w:b/>
        </w:rPr>
        <w:t>第一，全网级联传播的计算延迟灾难。</w:t>
      </w:r>
    </w:p>
    <w:p>
      <w:pPr>
        <w:spacing w:after="120" w:line="276" w:lineRule="auto"/>
      </w:pPr>
      <w:r>
        <w:t>多级安全库存计算需要沿着错综复杂的供应链有向图网络，将各级需求波动（Demand Uncertainty）和提前期波动（Lead Time Uncertainty）自底向上、自顶向下进行高频的级联传导和动态规划求解。在传统面向对象（OOP）内存模型或行级锁关系型数据库中，这种海量拓扑运算会导致严重的 CPU 高速缓存未命中（Cache Miss）与线程死锁，计算耗时长达数小时。因此，传统系统只能以“周”或“月”为周期执行静态的安全库存计算，无法将其融入毫秒级的 What-If 计划模拟沙箱中，导致计划决策与车间现场脱节。</w:t>
      </w:r>
    </w:p>
    <w:p>
      <w:pPr>
        <w:pStyle w:val="ListBullet"/>
        <w:spacing w:after="60"/>
      </w:pPr>
      <w:r>
        <w:rPr>
          <w:b/>
        </w:rPr>
        <w:t>第二，属性硬性分割导致的“安全库存冗余暴增”。</w:t>
      </w:r>
    </w:p>
    <w:p>
      <w:pPr>
        <w:spacing w:after="120" w:line="276" w:lineRule="auto"/>
      </w:pPr>
      <w:r>
        <w:t>在面对地域、客户段等多维属性时，传统 IO 只能在物理上将库存“硬性切开”为多个独立的池子分别备料。这导致“池化效应（Pooling Effect）”丧失，每个细分通道都必须冗余备足安全库存以抵御不确定性，导致全网总安全库存水位暴增。</w:t>
      </w:r>
    </w:p>
    <w:p>
      <w:pPr>
        <w:pStyle w:val="ListBullet"/>
        <w:spacing w:after="60"/>
      </w:pPr>
      <w:r>
        <w:rPr>
          <w:b/>
        </w:rPr>
        <w:t>第三，重叠替代料关系下的“安全库存重复计算与震荡”。</w:t>
      </w:r>
    </w:p>
    <w:p>
      <w:pPr>
        <w:spacing w:after="120" w:line="276" w:lineRule="auto"/>
      </w:pPr>
      <w:r>
        <w:t>当系统存在复杂的交叉重叠替代料（如 A 和 A1 组成替代组 1，A1 和 A2 组成替代组 2，A1 作为共享替代件）时，传统系统无法动态评估这种交叉代用关系对安全库存的冲抵效果，要么重复计算安全库存导致资产冗余，要么因为重算时的路径漂移引起滚动计划剧烈震荡（System Nervousness）。</w:t>
      </w:r>
    </w:p>
    <w:p>
      <w:pPr>
        <w:spacing w:after="120" w:line="276" w:lineRule="auto"/>
      </w:pPr>
      <w:r>
        <w:t>因此，如何在结合极致的高性能并行架构与交叉替代柔性分摊算法，实现毫秒级响应、全局池化降维的多级安全库存优化系统，是供应链决策领域的重大技术难题。</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有向图并行段树与交叉替代分配的多级库存优化方法及系统，用以解决传统多级库存优化计算缓慢无法融合实时沙箱、属性硬性分割导致库存冗余爆仓、以及交叉替代下安全库存重复计算与震荡的技术痛点，实现毫秒级收敛、全局动态池化的高效多级库存优化。</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DOD 扁平拓扑连续内存与二叉段树并行 MEIO 传播</w:t>
      </w:r>
    </w:p>
    <w:p>
      <w:pPr>
        <w:spacing w:after="120" w:line="276" w:lineRule="auto"/>
      </w:pPr>
      <w:r>
        <w:t>系统将庞大的供应链网络拓扑及节点参数（L 标准提前期、σ_D 需求标准差、σ_L 提前期标准差）以面向数据设计（DOD）的 SoA（Structure of Arrays）数组格式连续排布于物理内存中。</w:t>
      </w:r>
    </w:p>
    <w:p>
      <w:pPr>
        <w:spacing w:after="120" w:line="276" w:lineRule="auto"/>
      </w:pPr>
      <w:r>
        <w:t>系统将时间轴划分为二叉时序段树，并利用满足结合律的二叉规约合并算子 ⊕，多线程并发地沿着有向图网络进行供需不确定性的双向级联传播，在 O(log N) 步内计算出全网所有节点的时间分段安全库存水位：</w:t>
      </w:r>
    </w:p>
    <w:p>
      <w:pPr>
        <w:spacing w:after="120" w:line="276" w:lineRule="auto"/>
      </w:pPr>
      <w:r>
        <w:t xml:space="preserve"> SS_{i, t} = Z_i \times √{ L_i · σ_{D, i, t}^2 + D_{i, t}^2 · σ_{L, i}^2 } </w:t>
      </w:r>
    </w:p>
    <w:p>
      <w:pPr>
        <w:spacing w:after="120" w:line="276" w:lineRule="auto"/>
      </w:pPr>
      <w:r>
        <w:t>其中，安全系数 Z_i 是通过标准正态分布的逆累积分布函数由客户目标服务水平 SL_i 换算得到：Z_i = \Phi^{-1}(SL_i)。由于采用扁平 SoA 规约，计算被压缩在毫秒级内，使 IO 计算可实时嵌入 What-If 交互式沙箱。</w:t>
        <w:br/>
        <w:t>在多工厂协同网络中，前置提前期 L_i 随多工厂替代寻源路由分配比例、调拨效率及物流转换效率 η 动态变动。段树传播模型中引入基于转换率 η 的复合需求均值与组合标准差传递公式。</w:t>
      </w:r>
    </w:p>
    <w:p>
      <w:pPr>
        <w:keepNext/>
        <w:spacing w:before="200" w:after="80"/>
      </w:pPr>
      <w:r>
        <w:rPr>
          <w:b/>
          <w:color w:val="336699"/>
          <w:sz w:val="24"/>
        </w:rPr>
        <w:t>2. 基于原子时间戳锁定的虚拟安全库存乐观池化（Optimistic SS Pooling）</w:t>
      </w:r>
    </w:p>
    <w:p>
      <w:pPr>
        <w:spacing w:after="120" w:line="276" w:lineRule="auto"/>
      </w:pPr>
      <w:r>
        <w:t>为避免多维属性硬性分割导致的库存爆仓，本发明设计了“虚拟安全库存池”机制。</w:t>
      </w:r>
    </w:p>
    <w:p>
      <w:pPr>
        <w:spacing w:after="120" w:line="276" w:lineRule="auto"/>
      </w:pPr>
      <w:r>
        <w:t>系统在物理共享内存的库存格点上设置 std::atomic&lt;uint64_t&gt; 乐观时间戳版本号。安全库存池 in 逻辑上除了按地域和客户群划分外，还引入了 LLC 解耦点刚性配额控制（Allotment Quota Pool）。各个渠道的配额池独立核算，只有在非刚性限制的常规备料区间才允许进行乐观 CAS 池化共享。若涉及刚性约束，则严禁跨配额池共享，从而实现了柔性共享与硬性通道配额的有机结合。</w:t>
        <w:br/>
        <w:t>排程线程在扣减库存时使用 compare-and-swap（CAS）乐观锁控制进行无锁高并发扣减，既在记账层保留了多维度的财务约束，又利用池化效应将全网总安全库存水位降低了 20% 以上。</w:t>
      </w:r>
    </w:p>
    <w:p>
      <w:pPr>
        <w:keepNext/>
        <w:spacing w:before="200" w:after="80"/>
      </w:pPr>
      <w:r>
        <w:rPr>
          <w:b/>
          <w:color w:val="336699"/>
          <w:sz w:val="24"/>
        </w:rPr>
        <w:t>3. 交叉重叠替代组下的安全库存二次分配算法</w:t>
      </w:r>
    </w:p>
    <w:p>
      <w:pPr>
        <w:spacing w:after="120" w:line="276" w:lineRule="auto"/>
      </w:pPr>
      <w:r>
        <w:t>针对存在共享替代料（如 A1 交叉参与组 1 与组 2）的场景，IO 模块在计算安全库存时执行如下二次分配：</w:t>
      </w:r>
    </w:p>
    <w:p>
      <w:pPr>
        <w:pStyle w:val="ListBullet"/>
        <w:spacing w:after="60"/>
      </w:pPr>
      <w:r>
        <w:rPr>
          <w:b/>
        </w:rPr>
        <w:t>阶段一：历史安全库存锁防震荡（Prior SS Anchoring）</w:t>
      </w:r>
      <w:r>
        <w:t>。系统提取上一次计划确权锁定的 Pegging 比例，优先将 A1 的安全库存额度按比例预分配给组 1 和组 2，以稳定计划大盘，阻断计划震荡。</w:t>
      </w:r>
    </w:p>
    <w:p>
      <w:pPr>
        <w:pStyle w:val="ListBullet"/>
        <w:spacing w:after="60"/>
      </w:pPr>
      <w:r>
        <w:t>阶段二：动态波动余量重新分摊（Residual SS Allocation）。如果在新一轮计算中，组 1 的实际销量预测偏差减小，释放了部分安全库存额度，系统通过 C++ 内存管道将这部分“波动余量”重新分摊给组 2，用以动态冲抵组 2 因为需求波动增大而额外需要的防御防线，实现了替代料安全库存的全局自适应共享。在分摊时，系统引入替代比例因子 β 和不完全替代上限约束 Cap。如果替代量超过 Cap，则仅允许分摊部分安全库存额度，剩余的缺口强制向源头采购件或指定工厂提交补料申请。</w:t>
        <w:br/>
        <w:t>阶段三：采购比例均衡校验（Purchasing Ratio Balancing）。在触发补料申请时，系统将补料单量按各供应商/工厂的采购比例进行初次分配，并代入惩罚偏离函数 Θ 计算，确保补充的安全库存满足比例配额均衡要求。</w:t>
      </w:r>
    </w:p>
    <w:p>
      <w:pPr>
        <w:keepNext/>
        <w:spacing w:before="200" w:after="80"/>
      </w:pPr>
      <w:r>
        <w:rPr>
          <w:b/>
          <w:color w:val="336699"/>
          <w:sz w:val="24"/>
        </w:rPr>
        <w:t>4. 物理对账同步管道</w:t>
      </w:r>
    </w:p>
    <w:p>
      <w:pPr>
        <w:spacing w:after="120" w:line="276" w:lineRule="auto"/>
      </w:pPr>
      <w:r>
        <w:t>计算完成后，系统将各物料站点在各时段的动态安全库存水位、服务水平达成度、以及替代料安全库存分摊流水流式灌入 DuckDB 数据库中，实时同步控制塔前端。</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计算时效呈代际跨越</w:t>
      </w:r>
      <w:r>
        <w:t>：</w:t>
      </w:r>
    </w:p>
    <w:p>
      <w:pPr>
        <w:spacing w:after="120" w:line="276" w:lineRule="auto"/>
      </w:pPr>
      <w:r>
        <w:t>通过 DOD 扁平内存与满足结合律的段树并行前缀传播，将多级安全库存重算耗时由数小时缩短至 10 毫秒以内，首次实现了 MEIO 与微观排程的实时闭环沙箱推演。</w:t>
      </w:r>
    </w:p>
    <w:p>
      <w:pPr>
        <w:pStyle w:val="ListNumber"/>
        <w:spacing w:after="60"/>
      </w:pPr>
      <w:r>
        <w:rPr>
          <w:b/>
        </w:rPr>
        <w:t>物理库存压降显著</w:t>
      </w:r>
      <w:r>
        <w:t>：</w:t>
      </w:r>
    </w:p>
    <w:p>
      <w:pPr>
        <w:spacing w:after="120" w:line="276" w:lineRule="auto"/>
      </w:pPr>
      <w:r>
        <w:t>通过乐观 CAS 时间戳虚拟池化，充分释放了“池化效应”，在保障相同目标交付率的前提下，使全网总安全库存量下降 20% - 30%。</w:t>
      </w:r>
    </w:p>
    <w:p>
      <w:pPr>
        <w:pStyle w:val="ListNumber"/>
        <w:spacing w:after="60"/>
      </w:pPr>
      <w:r>
        <w:rPr>
          <w:b/>
        </w:rPr>
        <w:t>计划零震荡柔性替代</w:t>
      </w:r>
      <w:r>
        <w:t>：</w:t>
      </w:r>
    </w:p>
    <w:p>
      <w:pPr>
        <w:spacing w:after="120" w:line="276" w:lineRule="auto"/>
      </w:pPr>
      <w:r>
        <w:t>首创交叉替代重叠组安全库存二次分配算法，既包装锁定了历史安全库存结构防止计划频繁跳跃，又实现了多组之间安全库存额度的自适应流转与物理消纳。</w:t>
        <w:br/>
        <w:t>4. 兼顾配额安全与采购比例分配：</w:t>
        <w:br/>
        <w:t>在多级安全库存优化中深度融入了渠道解耦点刚性配额硬约束与多工厂采购比例偏差惩罚，保证了防线计算在面向复杂供应链网络时的可行性与合规性。</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本实施例以某精密电子制造企业的“中央仓 CDC ➔ 区域仓 RDC”双级供应链网络中，共享替代芯片 A1（交叉参与替代组 1 与替代组 2）的安全库存计算与分摊为例进行推演。</w:t>
      </w:r>
    </w:p>
    <w:p>
      <w:pPr>
        <w:keepNext/>
        <w:spacing w:before="200" w:after="80"/>
      </w:pPr>
      <w:r>
        <w:rPr>
          <w:b/>
          <w:color w:val="336699"/>
          <w:sz w:val="24"/>
        </w:rPr>
        <w:t>1. 初始多级拓扑与需求数据</w:t>
      </w:r>
    </w:p>
    <w:p>
      <w:pPr>
        <w:spacing w:after="120" w:line="276" w:lineRule="auto"/>
      </w:pPr>
      <w:r>
        <w:t>在 Day 5 计划期，各仓库节点的目标服务水平及需求波动参数如表1所示：</w:t>
      </w:r>
    </w:p>
    <w:p>
      <w:pPr>
        <w:keepNext/>
        <w:spacing w:before="160" w:after="80"/>
      </w:pPr>
      <w:r>
        <w:rPr>
          <w:b/>
          <w:sz w:val="22"/>
        </w:rPr>
        <w:t>表1 供应链网络节点初始参数及服务水平目标表</w:t>
      </w:r>
    </w:p>
    <w:p>
      <w:pPr>
        <w:spacing w:after="120" w:line="276" w:lineRule="auto"/>
      </w:pPr>
      <w:r>
        <w:t>节点名称 | 覆盖渠道 | 目标服务水平(SL) | 安全系数(Z) | 前置提前期(L) | 需求标准差(sigma_D) | 提前期标准差(sigma_L)</w:t>
      </w:r>
    </w:p>
    <w:p>
      <w:pPr>
        <w:spacing w:after="120" w:line="276" w:lineRule="auto"/>
      </w:pPr>
      <w:r>
        <w:t>---|---|---|---|---|---|---</w:t>
      </w:r>
    </w:p>
    <w:p>
      <w:pPr>
        <w:spacing w:after="120" w:line="276" w:lineRule="auto"/>
      </w:pPr>
      <w:r>
        <w:t>RDC_East | 华东渠道 | 97.7% | 2.00 | 4 天 | 100 颗 | 0.5 天 | 受解耦点刚性配额(800颗)限制</w:t>
      </w:r>
    </w:p>
    <w:p>
      <w:pPr>
        <w:spacing w:after="120" w:line="276" w:lineRule="auto"/>
      </w:pPr>
      <w:r>
        <w:t>RDC_West | 华西渠道 | 99.0% | 2.33 | 9 天 | 50 颗 | 1.0 天 | 常规动态池化备料</w:t>
      </w:r>
    </w:p>
    <w:p>
      <w:pPr>
        <w:spacing w:after="120" w:line="276" w:lineRule="auto"/>
      </w:pPr>
      <w:r>
        <w:t>CDC_Main | 中央大仓 | 95.0% | 1.65 | 16 天 | 自动级联汇聚 | 2.0 天 | 级联汇聚多工厂采购比例(A:B=60%:40%)</w:t>
      </w:r>
    </w:p>
    <w:p>
      <w:pPr>
        <w:keepNext/>
        <w:spacing w:before="200" w:after="80"/>
      </w:pPr>
      <w:r>
        <w:rPr>
          <w:b/>
          <w:color w:val="336699"/>
          <w:sz w:val="24"/>
        </w:rPr>
        <w:t>2. 段树并行传播计算多级安全库存</w:t>
      </w:r>
    </w:p>
    <w:p>
      <w:pPr>
        <w:spacing w:after="120" w:line="276" w:lineRule="auto"/>
      </w:pPr>
      <w:r>
        <w:t>系统通过多线程并行段树规约，在 0.8 毫秒内完成全网节点的多级安全库存计算，结果如表2所示：</w:t>
      </w:r>
    </w:p>
    <w:p>
      <w:pPr>
        <w:keepNext/>
        <w:spacing w:before="160" w:after="80"/>
      </w:pPr>
      <w:r>
        <w:rPr>
          <w:b/>
          <w:sz w:val="22"/>
        </w:rPr>
        <w:t>表2 多级节点安全库存计算结果及对账表</w:t>
      </w:r>
    </w:p>
    <w:p>
      <w:pPr>
        <w:spacing w:after="120" w:line="276" w:lineRule="auto"/>
      </w:pPr>
      <w:r>
        <w:t>节点名称 | 需求均值(D) | 组合总标准差 | 计算公式代入 | 算得安全库存(SS) | 最终状态评价</w:t>
      </w:r>
    </w:p>
    <w:p>
      <w:pPr>
        <w:spacing w:after="120" w:line="276" w:lineRule="auto"/>
      </w:pPr>
      <w:r>
        <w:t>---|---|---|---|---|---</w:t>
      </w:r>
    </w:p>
    <w:p>
      <w:pPr>
        <w:spacing w:after="120" w:line="276" w:lineRule="auto"/>
      </w:pPr>
      <w:r>
        <w:t>RDC_East | 1000 颗 | 538.5 颗 | 2.00 \times √{4 \times 100^2 + 1000^2 \times 0.5^2} | 1077 颗 | 达到 97.7% 交付率保障</w:t>
      </w:r>
    </w:p>
    <w:p>
      <w:pPr>
        <w:spacing w:after="120" w:line="276" w:lineRule="auto"/>
      </w:pPr>
      <w:r>
        <w:t>RDC_West | 500 颗 | 522.0 颗 | 2.33 \times √{9 \times 50^2 + 500^2 \times 1.0^2} | 1216 颗 | 达到 99.0% 交付率保障</w:t>
      </w:r>
    </w:p>
    <w:p>
      <w:pPr>
        <w:spacing w:after="120" w:line="276" w:lineRule="auto"/>
      </w:pPr>
      <w:r>
        <w:t>CDC_Main | 1500 颗 | 3200.0 颗 | 1.65 \times √{16 \times 150^2 + 1500^2 \times 2.0^2} | 5280 颗 | 考虑多级波动级联汇聚</w:t>
      </w:r>
    </w:p>
    <w:p>
      <w:pPr>
        <w:keepNext/>
        <w:spacing w:before="200" w:after="80"/>
      </w:pPr>
      <w:r>
        <w:rPr>
          <w:b/>
          <w:color w:val="336699"/>
          <w:sz w:val="24"/>
        </w:rPr>
        <w:t>3. 交叉替代组 A1 安全库存二次分配与动态余量分摊</w:t>
      </w:r>
    </w:p>
    <w:p>
      <w:pPr>
        <w:spacing w:after="120" w:line="276" w:lineRule="auto"/>
      </w:pPr>
      <w:r>
        <w:t>共享芯片 A1 的库存总量为 2000 颗。在新一轮滚动计算中，由于华东渠道（组 1）的需求趋于平稳，其安全库存需求从 1000 降为 800；而华西渠道（组 2）需求波动加剧，安全库存需求从 1000 升为 1200。设置替代上限 Cap = 150 颗。</w:t>
      </w:r>
    </w:p>
    <w:p>
      <w:pPr>
        <w:spacing w:after="120" w:line="276" w:lineRule="auto"/>
      </w:pPr>
      <w:r>
        <w:t>二次分配引擎的动作如表3所示：</w:t>
      </w:r>
    </w:p>
    <w:p>
      <w:pPr>
        <w:keepNext/>
        <w:spacing w:before="160" w:after="80"/>
      </w:pPr>
      <w:r>
        <w:rPr>
          <w:b/>
          <w:sz w:val="22"/>
        </w:rPr>
        <w:t>表3 交叉替代组安全库存二次分配与动态分摊对账表</w:t>
      </w:r>
    </w:p>
    <w:p>
      <w:pPr>
        <w:spacing w:after="120" w:line="276" w:lineRule="auto"/>
      </w:pPr>
      <w:r>
        <w:t>分配步骤 | 动作类型 | 组 1 分摊量 (Group 1) | 组 2 分摊量 (Group 2) | A1 剩余富余池 | 状态说明</w:t>
      </w:r>
    </w:p>
    <w:p>
      <w:pPr>
        <w:spacing w:after="120" w:line="276" w:lineRule="auto"/>
      </w:pPr>
      <w:r>
        <w:t>---|---|---|---|---|---</w:t>
      </w:r>
    </w:p>
    <w:p>
      <w:pPr>
        <w:spacing w:after="120" w:line="276" w:lineRule="auto"/>
      </w:pPr>
      <w:r>
        <w:t>初始状态 | 历史锚定 | 1000 颗 (上期预留值) | 1000 颗 (上期预留值) | 0 颗 | 锁防计划频繁跳跃</w:t>
      </w:r>
    </w:p>
    <w:p>
      <w:pPr>
        <w:spacing w:after="120" w:line="276" w:lineRule="auto"/>
      </w:pPr>
      <w:r>
        <w:t>第一阶段 | 历史预扣减 | 800 颗 | 1000 颗 | 200 颗 | 组 1 需求收缩，释放出 200 颗波动余量</w:t>
      </w:r>
    </w:p>
    <w:p>
      <w:pPr>
        <w:spacing w:after="120" w:line="276" w:lineRule="auto"/>
      </w:pPr>
      <w:r>
        <w:t>第二阶段 | 动态余量分摊 | 800 颗 | 1150 颗 (原1000 + 150) | 50 颗 (未分摊成功) | 由于受替代上限 Cap=150 限制，仅成功分摊 150 颗，剩余 50 颗缺口无法替代，进入补货流程</w:t>
        <w:br/>
        <w:t>第三阶段 | 采购比例补货 | 800 颗 | 1200 颗 (1150+50补货) | 0 颗 | 50 颗缺口启动补货分配：工厂 A 分摊 30 颗，工厂 B 分摊 20 颗，满足 60%:40% 的采购比例均衡</w:t>
      </w:r>
    </w:p>
    <w:p>
      <w:pPr>
        <w:spacing w:after="120" w:line="276" w:lineRule="auto"/>
      </w:pPr>
      <w:r>
        <w:t>通过该二次分配机制，系统在不超过替代上限 Cap=150 的范围内对 A1 的安全库存额度进行动态分摊，多出的 50 颗缺口自动触发向工厂 A 和工厂 B 的比例补货。这既最大限度地发挥了库存池化与替代分摊的柔性，又满足了刚性配额与采购比例的业务底线，且大盘计划零震荡。</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本专利作为“多级安全库存优化（MEIO）与交叉替代重分摊引擎”，是整个供应链网络降本增效、抑制不确定性传导的决策大脑，它与本系统的其他专利形成了紧密的底层级联与算法协同：</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本专利进行的多级安全库存均值与方差时域段树传播、以及交叉替代二次分配，所有输入（如 σ_D, σ_L 波动参数）和输出（RDC 与 CDC 的动态 SS 结果）均存储在专利 7 物理克隆并映射到内存中的沙箱数据库中。计算完成后使用零拷贝 Appender 管道流式同步写入沙箱中，支持控制塔前端的毫秒级多维穿透对账。</w:t>
      </w:r>
    </w:p>
    <w:p>
      <w:pPr>
        <w:pStyle w:val="ListNumber"/>
        <w:spacing w:after="60"/>
      </w:pPr>
      <w:r>
        <w:rPr>
          <w:b/>
        </w:rPr>
        <w:t>与专利 8（一种基于物料依赖 LLC 拓扑分级的大大规模 MRP 并行消纳调度系统及方法）的关联</w:t>
      </w:r>
      <w:r>
        <w:t>：</w:t>
      </w:r>
    </w:p>
    <w:p>
      <w:pPr>
        <w:spacing w:after="120" w:line="276" w:lineRule="auto"/>
      </w:pPr>
      <w:r>
        <w:t>专利 8 负责对全网物料进行层内并行 Netting 展开。当专利 8 计算到某 LLC 级别、需要对下游物料的毛需求进行扣减并计算净缺口时，系统会调用本专利计算得到的时序安全库存水位 SS_{i, t} 作为物理“蓄水池”阈值参数。只有当“在库现有量 + 在途量 - 毛需求 &lt; 安全库存阈值”时，才触发专利 8 生成计划订单（Planned Orders），实现“需求波动 ➔ 波动传递 ➔ 段树并行传播 ➔ 网格级联Netting”的全局并行处理。</w:t>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本专利是专利 9 的</w:t>
      </w:r>
      <w:r>
        <w:rPr>
          <w:b/>
        </w:rPr>
        <w:t>数学规划与分配控制逻辑层</w:t>
      </w:r>
      <w:r>
        <w:t>（即具体描述 CDC-RDC 段树方差传播及交叉替代组二次分摊算法），而专利 9 是本专利在多线程无锁并发上的</w:t>
      </w:r>
      <w:r>
        <w:rPr>
          <w:b/>
        </w:rPr>
        <w:t>底座指令实现</w:t>
      </w:r>
      <w:r>
        <w:t>。本专利的“两阶段分配协议”在执行第二阶段“动态余量共享池化扣减”时，系统调用专利 9 提供的乐观时间戳版本控制与 CAS 原子替换指令，使得多个分拨线程能并发安全地对 A1 的全局虚拟 SS 共享池进行原子扣减，保障了数据一致性。</w:t>
      </w:r>
    </w:p>
    <w:p>
      <w:pPr>
        <w:pStyle w:val="ListNumber"/>
        <w:spacing w:after="60"/>
      </w:pPr>
      <w:r>
        <w:rPr>
          <w:b/>
        </w:rPr>
        <w:t>与专利 10（一种基于线程局部零堆分配回滚栈与时空网格的有限能力排产系统及方法）的关联</w:t>
      </w:r>
      <w:r>
        <w:t>：</w:t>
      </w:r>
    </w:p>
    <w:p>
      <w:pPr>
        <w:spacing w:after="120" w:line="276" w:lineRule="auto"/>
      </w:pPr>
      <w:r>
        <w:t>当本专利的二次分配算法在检查共享替代料的可用性、沿着工艺路线 Routing 反向回推工艺可行性时，系统会调用专利 10 提供的线程局部零堆回退栈记录该贴片机台的产能扣减和换型开销。若替代分配导致了微观产能的过载冲突，本专利通过零堆栈瞬间原位回退并尝试其他的替代组合，保证了计算的零内存碎片。</w:t>
      </w:r>
    </w:p>
    <w:p>
      <w:pPr>
        <w:pStyle w:val="ListNumber"/>
        <w:spacing w:after="60"/>
      </w:pPr>
      <w:r>
        <w:rPr>
          <w:b/>
        </w:rPr>
        <w:t>与专利 11（一种基于数据模型同构双螺旋与自反馈控制的抗熵计划调节系统及方法）的关联</w:t>
      </w:r>
      <w:r>
        <w:t>：</w:t>
      </w:r>
    </w:p>
    <w:p>
      <w:pPr>
        <w:spacing w:after="120" w:line="276" w:lineRule="auto"/>
      </w:pPr>
      <w:r>
        <w:t>当物理探针监测到某区域仓（RDC）的实际履约率（OTIF）偏离设定目标，导致残差超标时，专利 11 启动自反馈闭环，动态调整本专利公式中的服务水平目标 SL_i（作为 CDM 参数），并重新触发本专利进行多级段树传播计算，以重塑安全库存防御边界，实现计划的自适应抗熵稳态调节。</w:t>
      </w:r>
    </w:p>
    <w:p>
      <w:r>
        <w:t>6. 与专利 2（一种基于联副产品分级分流消纳的配产控制系统及方法）的关联：</w:t>
      </w:r>
    </w:p>
    <w:p>
      <w:r>
        <w:t>当本专利计算出安全库存水位并由于替代限制触发补货需求时，补货指令流式输入专利 2。专利 2 调用 Projected Gradient 算法计算伴生产品及采购比例惩罚值，确定最佳的投产方案，使安全库存的补充过程在多工厂网络下达到运筹最优。</w:t>
      </w:r>
    </w:p>
    <w:p>
      <w:r>
        <w:t>7. 与专利 3（一种基于时域并行前缀和分治的同节点ATP供需平衡消纳系统及方法）的关联：</w:t>
      </w:r>
    </w:p>
    <w:p>
      <w:r>
        <w:t>当销售端并发调用专利 3 的时域并行段树计算 ATP 时，本专利计算的动态安全库存水位（考虑了多工厂调拨与转换系数 η）作为硬性水位下限输入专利 3。这确保了段树在 O(log N) 并发前缀扫描中扣减的 ATP 不会侵占底层的安全防御防线。</w:t>
      </w:r>
    </w:p>
    <w:p>
      <w:r>
        <w:t>8. 与专利 4（一种面向级联排产的零分配内存事务性回滚系统及方法）的关联：</w:t>
      </w:r>
    </w:p>
    <w:p>
      <w:r>
        <w:t>本专利在执行交叉替代二次分摊与刚性配额池（Allotment Quota Pool）抵扣试算时，所有的尝试性分摊流水均压入专利 4 的 AllocationTraceBuffer。如果试算判定违反了硬性约束，则由专利 4 的逆向引擎在微秒级内完整回滚，保证安全库存计算的事务性与一致性。</w:t>
      </w:r>
    </w:p>
    <w:p>
      <w:r>
        <w:t>9. 与专利 5（一种基于有向无环图及时间戳锁定的时空产能置换方法及系统）的关联：</w:t>
      </w:r>
    </w:p>
    <w:p>
      <w:r>
        <w:t>本专利传播得出的多工厂时序安全库存水位，直接作为专利 5 进行 DBD 分桶派程与 Swap 时空产能置换的校验底盘。专利 5 在执行抢占平移（OTP）时，必须校验转移后的订单不会使目标工厂的安全库存防线被击穿，从而维持了车间产能与全网库存波动的联合稳态。</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