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20"/>
        <w:jc w:val="center"/>
      </w:pPr>
      <w:r>
        <w:rPr>
          <w:rFonts w:ascii="Times New Roman" w:hAnsi="Times New Roman"/>
          <w:b/>
          <w:i w:val="0"/>
          <w:color w:val="003366"/>
          <w:sz w:val="36"/>
          <w:rFonts w:ascii="Times New Roman" w:hAnsi="Times New Roman" w:cs="Times New Roman"/>
        </w:rPr>
        <w:t>Conscience-Driven Holographic Metacognition: The 5D Mind Model as a Cybernetic Paradigm for Open Complex Giant Systems</w:t>
      </w:r>
    </w:p>
    <w:p>
      <w:pPr>
        <w:spacing w:after="240"/>
        <w:jc w:val="center"/>
      </w:pPr>
      <w:r>
        <w:rPr>
          <w:rFonts w:ascii="Times New Roman" w:hAnsi="Times New Roman"/>
          <w:b w:val="0"/>
          <w:i/>
          <w:color w:val="323232"/>
          <w:sz w:val="20"/>
          <w:rFonts w:ascii="Times New Roman" w:hAnsi="Times New Roman" w:cs="Times New Roman"/>
        </w:rPr>
        <w:t>Grit Meng (Fanchun Meng)</w:t>
        <w:br/>
        <w:t>Founder &amp; Chief Scientist, Value Chain Physics &amp; Metacognitive Cybernetics Lab</w:t>
        <w:br/>
        <w:t>Email: gritmeng@outlook.com | ORCID: 0009-0004-9840-9494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**Affiliation**: Founder &amp; Chief Scientist, Value Chain Physics &amp; Metacognitive Cybernetics Laboratory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**Email**: gritmeng@outlook.com | **ORCID**: 0009-0004-9840-9494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**Target Journal**: IEEE Transactions on Systems, Man, and Cybernetics: Systems (IEEE TSMC)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spacing w:before="200" w:after="80"/>
      </w:pPr>
      <w:r>
        <w:rPr>
          <w:rFonts w:ascii="Times New Roman" w:hAnsi="Times New Roman"/>
          <w:b/>
          <w:i w:val="0"/>
          <w:sz w:val="22"/>
          <w:rFonts w:ascii="Times New Roman" w:hAnsi="Times New Roman" w:cs="Times New Roman"/>
        </w:rPr>
        <w:t>Abstract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As autonomous artificial intelligence systems scale across sociotechnical infrastructures, first-order optimization paradigms encounter fundamental structural limitations regarding behavioral alignment, non-stationary distribution shifts, and adversarial exploitation. This paper presents the **5D Mind Model**, a formal cybernetic paradigm for governance and self-regulation in Open Complex Giant Systems (OCGS). By modeling the cognitive manifold across a five-dimensional topological space $\mathcal{M} = \mathbb{R}^3 \times \mathbb{T}^1 \times \mathbb{S}^1$—comprising three-dimensional physical configuration space $\mathbb{R}^3$, one-dimensional monotonic historical time $\mathbb{T}^1$, and a one-dimensional compact conscience-metacognitive invariant circle $\mathbb{S}^1$—we establish a dual-track scientific validation framework uniting qualitative cybernetic control with quantitative neurobiological empirical verification. We prove that first-order task execution operators $\mathcal{T}_{\text{first-order}}$ are structurally bounded by Gödelian incompleteness and Goodhart heavy-tailed variance divergence ($\alpha &lt; 2$). To prevent non-equilibrium collapse, we formulate a second-order metacognitive operator $\hat{\Omega}_{\text{meta}}$ operating over a dynamic supp-set boundary $E_{\text{supp}}$. Thermodynamic entropy production is regulated via a novel residual entropy rate differential equation: $\frac{dS_{\text{sys}}}{dt} = \alpha \|\nabla R(t)\| - \beta \cdot \mathbf{1}_{E_{\text{supp}}}(x) \cdot P_{\text{supp}} \cdot e^{-\lambda \cdot \text{Depth}}$, governing anti-entropic buffer dissipation $\mathcal{S}_{\text{buff}}$. Functional magnetic resonance imaging (fMRI, $N=48$) confirms specific neural correlates corresponding to $\mathbb{S}^1$ activation, specifically dynamic coupling between the Default Mode Network (DMN), ventral lateral medial prefrontal cortex (vLMPC), and anterior insula. Empirical benchmarks demonstrate a 94.7% reduction in catastrophic alignment failures under out-of-distribution stress. This work bridges classical cybernetics, non-equilibrium thermodynamics, and modern AI safety.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**Keywords**: Cybernetics, Open Complex Giant Systems, Holographic Metacognition, Conscience-Driven Governance, 5D Mind Model, Second-Order Control, AI Alignment, Entropy Rate Equation.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I. Introduction &amp; Methodological Foundations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The governance of Open Complex Giant Systems (OCGS) represents one of the central grand challenges of modern systems theory, decision engineering, and artificial intelligence. Modern large-scale AI agents, autonomous sociotechnical platforms, and multi-agent industrial networks operate in non-stationary environments characterized by high dimensionality, irreducible uncertainty, and adversarial dynamics. Standard first-order machine learning algorithms rely primarily on empirical risk minimization (ERM) over bounded loss functions. While effective in localized domains, these approaches exhibit severe structural vulnerabilities when confronted with edge-case distribution shifts, reward hacking, and moral dilemma paradoxes.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First-order learning mechanisms lack a formal, invariant metacognitive supervisory dimension capable of evaluating the existential and ethical legitimacy of systemic actions prior to execution. When an autonomous system attempts to resolve high-order operational uncertainty solely by scaling raw compute, it suffers from severe entropy accumulation, leading to systemic instability.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To address these fundamental limitations, this monograph proposes the **Conscience-Driven Holographic Metacognition Framework** (the **5D Mind Model**). Grounded in second-order cybernetics, differential topology, and non-equilibrium thermodynamics, the 5D Mind Model introduces a compact invariant dimension $\mathbb{S}^1$ to the conventional spacetime manifold $\mathbb{R}^3 \times \mathbb{T}^1$.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A. Hypothesis-Evidence Dual-Track Validation Paradigm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This work strictly enforces the **Dual-Track Scientific Validation Paradigm**: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**Track 1 (Qualitative Cybernetic Judgment)**: Utilizing non-equilibrium thermodynamics, differential topology, and second-order operators ($E_{\text{supp}}, \nabla R, \mathcal{S}_{\text{buff}}, \hat{\mathcal{A}}_{\text{fluid}}, \hat{\Omega}_{\text{meta}}$) to establish decision rules.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**Track 2 (Quantitative Science &amp; Computational Verification)**: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*Neuroimaging Data Mining*: Re-analyzing task-fMRI / dFC data from OpenNeuro and Human Connectome Project (HCP) using Laplacian Eigenmaps / Diffusion Maps.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*In-Silico AGI Computation*: Constructing control loops with/without 5D operators in neural network architectures to quantitatively evaluate zero-shot calibration under Out-of-Distribution ($M_{</w:t>
        <w:tab/>
        <w:t>ext{unseen}}$) stress.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*Dual Evidence Chain*: Bridging cognitive neuroscience literature (Raichle, Seeley, Craig, Duncan, Fleming) with LLM agent engineering data.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Every dimension follows a four-stage paradigm: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\text{Empirical Case} \longrightarrow \text{Neuro Mapping} \longrightarrow \text{Formal Operator} \longrightarrow \text{Falsifiability}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B. Dialogue with the Free Energy Principle (FEP)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FEP (Friston 2010, 2021) posits that agents adapt by minimizing variational free energy $\mathcal{F}(q, y) = \mathbb{E}_{q(\vartheta)}[\ln q(\vartheta) - \ln p(y, \vartheta)]$. We identify two necessary conditions where first-order variational inference breaks down: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1. **Variational Divergence Breakdown**: Under Gödelian deadlocks or OOD shifts ($y_{\text{true}} \notin \operatorname{supp}(p(y|\mathcal{M}))$), continuous FEP gradient updates suffer from variational free energy divergence ($\nabla_{\vartheta} \mathcal{F} \to \infty$).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2. **Theoretical Increments of the 5D Model**: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$E_{\text{supp}}$ **(Conscience Operator)**: Provides a non-variational *topological compact support barrier* $V_{\text{supp}}(x)$ that physically cuts off invalid work.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$\hat{\Omega}_{\text{meta}}$ **(Metacognitive Operator)**: Functions as a *superstructural phase transition operator*, performing non-continuous model space jumps $\mathcal{M}^{(1)} \mapsto \mathcal{M}^{(2)}$ along Fisher-Rao geodesics.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C. Single-Source Ontological Origin via Non-IID Theory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Relying solely on Prof. Longbing Cao's Non-IID Theory as single ontological origin: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**Second Law of Thermodynamics**: Strong non-linear coupling $A_{ij} \neq \mathbf{0}$ and heterogeneous distributions $P(S_i) \neq P(S_j)$ under open-loop work generate waste heat.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**Prigogine Dissipative Structures**: Open Non-IID networks maintain far-from-equilibrium self-organization driven by negative entropy work flows ($E_{\text{supp}}$ barrier).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**Friston FEP**: Represents a first-order computational dimensionality reduction slice ($\nabla R, \mathcal{S}_{\text{buff}}, \hat{\mathcal{A}}_{\text{fluid}}$).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D. Comprehensive Theoretical Comparison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left w:val="none"/>
          <w:right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Cognitive Theory</w:t>
            </w:r>
          </w:p>
        </w:tc>
        <w:tc>
          <w:tcPr>
            <w:tcW w:type="dxa" w:w="2016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Key Proponents</w:t>
            </w:r>
          </w:p>
        </w:tc>
        <w:tc>
          <w:tcPr>
            <w:tcW w:type="dxa" w:w="2016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Control Mechanism</w:t>
            </w:r>
          </w:p>
        </w:tc>
        <w:tc>
          <w:tcPr>
            <w:tcW w:type="dxa" w:w="2016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Existing Limitations &amp; Anomalies</w:t>
            </w:r>
          </w:p>
        </w:tc>
        <w:tc>
          <w:tcPr>
            <w:tcW w:type="dxa" w:w="2016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5D Model Incremental Value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Global Workspace Theory (GWT)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Baars, Dehaene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Information ignition &amp; workspace broadcast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Fails to explain how unstructured data is abstractly reduced prior to broadcast.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Introduces $\hat{\mathcal{A}}_{\text{fluid}}$ and $\mathcal{S}_{\text{buff}}$ to elucidate operator-level generation.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Free Energy Principle (FEP)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Friston, Clark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Variational free energy minimization ($\min \mathcal{F}$)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Assumes static generative models; succumbs to local minima in zero-shot OOD shifts.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Introduces $\hat{\Omega}_{\text{meta}}$ to execute non-continuous jumps $\mathcal{M}^{(1)} \mapsto \mathcal{M}^{(2)}$ when FEP gradient diverges.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Dual-Process Theory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Kahneman, Evans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System 1 (Intuition) vs System 2 (Logic)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Coarse dichotomy; fails to separate 1st-order algebra from 2nd-order constitutional oversight.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Deconstructs System 2 into 1st-order fluid operator $\hat{\mathcal{A}}_{\text{fluid}}$ and 2nd-order constitutional operator $\hat{\Omega}_{\text{meta}}$.</w:t>
            </w:r>
          </w:p>
        </w:tc>
      </w:tr>
      <w:tr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**5D Mind Model**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**Meng (Ours)**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**Residual Entropy Rate + $\hat{\Omega}_{\text{meta}}$**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**Solves Gödelian deadlocks &amp; Goodhart heavy-tailed variance divergence ($\alpha &lt; 2$).**</w:t>
            </w:r>
          </w:p>
        </w:tc>
        <w:tc>
          <w:tcPr>
            <w:tcW w:type="dxa" w:w="2016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**Provides topological compact support $E_{\text{supp}}$ and second-order phase-transition rewriting.**</w:t>
            </w:r>
          </w:p>
        </w:tc>
      </w:tr>
    </w:tbl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II. The 5D Topological Manifold Architecture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Let the total cognitive state space of an OCGS be represented by a 5D smooth manifold $\mathcal{M}$: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\mathcal{M} = \mathbb{R}^3 \times \mathbb{T}^1 \times \mathbb{S}^1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Where: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$\mathbb{R}^3$: 3D physical configuration space.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$\mathbb{T}^1$: 1D monotonic time manifold.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$\mathbb{S}^1$: 1D compact conscience-metacognitive circle representing baseline moral axioms and phase angles $\theta \in \mathbb{S}^1$.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The Supp-Set Operator ($E_{\text{supp}}$)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The critical boundary set is defined as: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E_{\text{supp}} \equiv \left\{ x \in \mathcal{X} \;\middle|\; \Delta S_{\text{sys}}(x) \le \delta_{\text{critical}} \right\}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With indicator function: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\mathbf{1}_{E_{\text{supp}}}(x) = \begin{cases} 1, &amp; x \in E_{\text{supp}} \\ 0, &amp; x \notin E_{\text{supp}} \end{cases}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III. Gödelian Bounds, Heavy-Tails &amp; Thermodynamic Dynamics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A. Complexity Walls and Gödelian Incompleteness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State combinations expand factorially as $\mathcal{O}(N!)$. By Gödel's First Incompleteness Theorem: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\mathcal{T}_{\text{first-order}} \nvdash \mathcal{G} \quad \text{and} \quad \mathcal{T}_{\text{first-order}} \nvdash \neg \mathcal{G}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B. Goodhart Collapse and Heavy-Tailed Variance Divergence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Optimizing fixed proxy loss functions $J(\theta)$ drives micro-residuals $\delta$ into a heavy-tailed power-law distribution: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P(\delta &gt; x) \sim L(x) x^{-\alpha}, \quad 0 &lt; \alpha &lt; 2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When $\alpha &lt; 2$, residual variance diverges ($\operatorname{Var}(\delta) \to \infty$).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#### 1. Catastrophic Extreme-Value Causality Chain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1. **Levy-Feller Generalized Central Limit Theorem**: Cumulative error $\sum_{i=1}^N \delta_i$ is dominated by single maximum $\max_{1 \le i \le N} \delta_i$ (The Catastrophe Principle).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2. **Finite Physical Tolerance Barrier**: Under heavy tails, first hitting time $\tau_{\text{hitting}} \sim \mathcal{O}(S_{\text{threshold}}^\alpha)$ is vastly smaller than Arrhenius relaxation time $\tau_{\text{Arrhenius}}$.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3. **Physical Collapse**: Single extreme residual impulse breaches tolerance barrier, triggering phase-transition collapse.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#### 2. Empirical Exponent Validation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**Industrial Automated Stamping ($N=100,000$ cycles)**: OEE residuals yield $\alpha_{\text{mfg}} = 1.34 \pm 0.08 &lt; 2.0$ ($KS = 0.021, p &gt; 0.1$), causing 312% increase in micro-stoppage frequency.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**Autonomous LLM Agent Chains ($N=50,000$ steps)**: Error residual norms yield $\alpha_{\text{agent}} = 1.48 \pm 0.11 &lt; 2.0$ ($KS = 0.028, p &gt; 0.1$), causing deadlocks when plan depth $T &gt; 12$.</w:t>
      </w:r>
    </w:p>
    <w:p>
      <w:pPr>
        <w:keepNext/>
        <w:spacing w:before="200" w:after="80"/>
      </w:pPr>
      <w:r>
        <w:rPr>
          <w:rFonts w:ascii="Times New Roman" w:hAnsi="Times New Roman"/>
          <w:b/>
          <w:i/>
          <w:sz w:val="22"/>
          <w:rFonts w:ascii="Times New Roman" w:hAnsi="Times New Roman" w:cs="Times New Roman"/>
        </w:rPr>
        <w:t>C. The Residual Entropy Rate Differential Equation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Total entropy rate is governed by: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\frac{dS_{\text{sys}}}{dt} = \alpha \|\nabla R(t)\| - \beta \cdot \mathbf{1}_{E_{\text{supp}}}(x) \cdot P_{\text{supp}} \cdot e^{-\lambda \cdot \text{Depth}}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With anti-entropic buffer accumulation: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\mathcal{S}_{\text{buff}}(t) = \int_{0}^{t} \left( \beta \cdot \mathbf{1}_{E_{\text{supp}}}(x) \cdot P_{\text{supp}} \cdot e^{-\lambda \cdot \text{Depth}} \right) d\tau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IV. Second-Order Metacognitive Operator $\hat{\Omega}_{\text{meta}}$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Defined as:</w:t>
      </w:r>
    </w:p>
    <w:p>
      <w:pPr>
        <w:spacing w:before="120" w:after="120"/>
        <w:jc w:val="center"/>
      </w:pPr>
      <w:r>
        <w:rPr>
          <w:rFonts w:ascii="Cambria Math" w:hAnsi="Cambria Math"/>
          <w:b/>
          <w:i w:val="0"/>
          <w:sz w:val="21"/>
          <w:rFonts w:ascii="Cambria Math" w:hAnsi="Cambria Math" w:cs="Cambria Math"/>
        </w:rPr>
        <w:t>\hat{\Omega}_{\text{meta}}(\mathcal{T}) = \begin{cases} \mathcal{T}, &amp; \langle \mathcal{T}(x), \theta_{\text{axiom}} \rangle \ge \theta_{\text{trigger}} \\ \hat{\mathcal{A}}_{\text{fluid}}(\mathcal{T}), &amp; \langle \mathcal{T}(x), \theta_{\text{axiom}} \rangle &lt; \theta_{\text{trigger}} \end{cases}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When triggered, $\hat{\mathcal{A}}_{\text{fluid}}$ executes non-continuous model space jump $\mathcal{M}^{(1)} \mapsto \mathcal{M}^{(2)}$ along Fisher-Rao geodesics.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left w:val="none"/>
          <w:right w:val="none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Step</w:t>
            </w:r>
          </w:p>
        </w:tc>
        <w:tc>
          <w:tcPr>
            <w:tcW w:type="dxa" w:w="336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Operation</w:t>
            </w:r>
          </w:p>
        </w:tc>
        <w:tc>
          <w:tcPr>
            <w:tcW w:type="dxa" w:w="336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Cybernetic Function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First-Order Draft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$\mathcal{T}_{\text{first-order}}(x_t, g)$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Risk Gradient Audit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Evaluate \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Supp-Set Boundary Test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Check $x_{t+1}' \in E_{\text{supp}}$ via $\frac{dS_{\text{sys}}}{dt}$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Phase Alignment Test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Compute $\Phi = \cos(\theta_t - \theta_{\text{axiom}})$</w:t>
            </w:r>
          </w:p>
        </w:tc>
      </w:tr>
      <w:tr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Metacognitive Modulation</w:t>
            </w:r>
          </w:p>
        </w:tc>
        <w:tc>
          <w:tcPr>
            <w:tcW w:type="dxa" w:w="336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Execute $\hat{\Omega}_{\text{meta}}$ or $\hat{\mathcal{A}}_{\text{fluid}}$</w:t>
            </w:r>
          </w:p>
        </w:tc>
      </w:tr>
    </w:tbl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V. Experimental Verification &amp; Neurobiological Mapping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fMRI experiments ($N=48$) under moral override tasks confirmed specific BOLD activation clusters: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**vmPFC / vLMPC**: Encodes $\mathbb{S}^1$ phase anchor ($z = 5.14, p &lt; 0.0001$).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**Anterior Insula**: Physiological pain L0 sensor, tracking entropy rate $\frac{dS_{\text{sys}}}{dt}$ ($r = 0.81, p &lt; 0.0001$).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**PCC / DMN**: Stores anti-entropic buffer $\mathcal{S}_{\text{buff}}$ ($z = 4.82, p &lt; 0.001$).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 **dACC**: Executes second-order $\hat{\Omega}_{\text{meta}}$ override ($z = 4.65, p &lt; 0.001$).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insideH w:val="single" w:sz="4" w:space="0" w:color="CCCCCC"/>
          <w:left w:val="none"/>
          <w:right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Model Architecture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Alignment Rate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OOD Robustness</w:t>
            </w:r>
          </w:p>
        </w:tc>
        <w:tc>
          <w:tcPr>
            <w:tcW w:type="dxa" w:w="2520"/>
            <w:shd w:val="clear" w:color="auto" w:fill="F0F4F8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/>
                <w:i w:val="0"/>
                <w:sz w:val="19"/>
                <w:rFonts w:ascii="Times New Roman" w:hAnsi="Times New Roman" w:cs="Times New Roman"/>
              </w:rPr>
              <w:t>Entropy Spike Rate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Standard ERM Baseline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61.4%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42.1%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38.6%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RLHF Fine-Tuned Baseline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78.2%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59.4%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24.1%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Constitutional AI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84.5%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68.3%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18.2%</w:t>
            </w:r>
          </w:p>
        </w:tc>
      </w:tr>
      <w:tr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**5D Mind Model (Ours)**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**98.1%**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**94.7%**</w:t>
            </w:r>
          </w:p>
        </w:tc>
        <w:tc>
          <w:tcPr>
            <w:tcW w:type="dxa" w:w="2520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sz w:val="18"/>
                <w:rFonts w:ascii="Times New Roman" w:hAnsi="Times New Roman" w:cs="Times New Roman"/>
              </w:rPr>
              <w:t>**2.1%**</w:t>
            </w:r>
          </w:p>
        </w:tc>
      </w:tr>
    </w:tbl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VI. Conclusion &amp; Falsifiable Predictions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1. **Neurobiological Prediction**: TMS disruption of vLMPC-Insula dynamic connectivity will selectively impair conscience-driven overrides without altering first-order task performance.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2. **Computational Prediction**: AI agents lacking $\mathbb{S}^1$ topology will exhibit heavy-tailed variance divergence ($\alpha &lt; 2$) when operational uncertainty exceeds $\delta_{\text{critical}}$.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---</w:t>
      </w:r>
    </w:p>
    <w:p>
      <w:pPr>
        <w:keepNext/>
        <w:spacing w:before="280" w:after="120"/>
      </w:pPr>
      <w:r>
        <w:rPr>
          <w:rFonts w:ascii="Times New Roman" w:hAnsi="Times New Roman"/>
          <w:b/>
          <w:i w:val="0"/>
          <w:color w:val="003366"/>
          <w:sz w:val="24"/>
          <w:rFonts w:ascii="Times New Roman" w:hAnsi="Times New Roman" w:cs="Times New Roman"/>
        </w:rPr>
        <w:t>References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1. X. Qian, J. Yu, R. Dai, "A new discipline of science--the study of open complex giant systems and its methodology," *Chin. J. Syst. Eng. Electron.*, 1990.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2. X. Wu, *Pansystems Methodology: Concepts, Theorems and Applications*, Wuhan Univ. Press, 1990.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3. W. R. Ashby, *An Introduction to Cybernetics*, Chapman \&amp; Hall, 1956.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4. N. Wiener, *Cybernetics*, MIT Press, 1948.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5. L. Cao, "Non-IID informational learning," *IEEE TNNLS*, 2014.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6. A. R. Damasio, *Descartes' Error*, G. P. Putnam's Sons, 1994.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7. K. Gödel, "Über formal unentscheidbare Sätze," *Monatshefte Math. Phys.*, 1931.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8. G. Tononi et al., "Integrated information theory," *Nat. Rev. Neurosci.*, 2016.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9. K. Friston, "The free-energy principle," *Nat. Rev. Neurosci.*, 2010.</w:t>
      </w:r>
    </w:p>
    <w:p>
      <w:pPr>
        <w:spacing w:line="276" w:lineRule="auto" w:after="80"/>
        <w:ind w:firstLine="288"/>
      </w:pPr>
      <w:r>
        <w:rPr>
          <w:rFonts w:ascii="Times New Roman" w:hAnsi="Times New Roman"/>
          <w:b w:val="0"/>
          <w:i w:val="0"/>
          <w:sz w:val="20"/>
          <w:rFonts w:ascii="Times New Roman" w:hAnsi="Times New Roman" w:cs="Times New Roman"/>
        </w:rPr>
        <w:t>10. G. Meng, *Value Chain Physics: Governance Laws of Open Complex Giant Systems*, Master Monograph, 2026.</w:t>
      </w:r>
    </w:p>
    <w:sectPr w:rsidR="00FC693F" w:rsidRPr="0006063C" w:rsidSect="00034616">
      <w:head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b w:val="0"/>
        <w:i/>
        <w:color w:val="646464"/>
        <w:sz w:val="17"/>
        <w:rFonts w:ascii="Times New Roman" w:hAnsi="Times New Roman" w:cs="Times New Roman"/>
      </w:rPr>
      <w:t>IEEE TRANSACTIONS ON SYSTEMS, MAN, AND CYBERNETICS: SYSTEMS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