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  <w:jc w:val="center"/>
      </w:pPr>
      <w:r>
        <w:rPr>
          <w:rFonts w:ascii="Times New Roman" w:hAnsi="Times New Roman"/>
          <w:b/>
          <w:color w:val="1B365D"/>
          <w:sz w:val="36"/>
        </w:rPr>
        <w:t>Conscience-Driven Holographic Metacognition: A Second-Order Cybernetic Architecture and 5D Mind Model for Open Complex Giant Systems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B365D"/>
          <w:sz w:val="27"/>
        </w:rPr>
        <w:t>Abstract</w:t>
      </w:r>
    </w:p>
    <w:p>
      <w:pPr>
        <w:spacing w:after="100" w:line="288" w:lineRule="auto"/>
      </w:pPr>
      <w:r>
        <w:t>To address the empirical anomalies of free energy divergence (</w:t>
      </w:r>
      <w:r>
        <w:rPr>
          <w:rFonts w:ascii="Times New Roman" w:hAnsi="Times New Roman"/>
          <w:i/>
          <w:color w:val="1B365D"/>
        </w:rPr>
        <w:t>\nabla_{\vartheta} \mathcal{F} \to \infty</w:t>
      </w:r>
      <w:r>
        <w:t>), Gödelian self-referential paralysis, and Goodhart heavy-tailed collapse (</w:t>
      </w:r>
      <w:r>
        <w:rPr>
          <w:rFonts w:ascii="Times New Roman" w:hAnsi="Times New Roman"/>
          <w:i/>
          <w:color w:val="1B365D"/>
        </w:rPr>
        <w:t>\alpha &lt; 2</w:t>
      </w:r>
      <w:r>
        <w:t xml:space="preserve">) encountered by Open Complex Giant Systems (OCGS) and Large Language Models (LLMs) at Out-of-Distribution (OOD) zero-shot deadlocks, this paper proposes a self-consistent </w:t>
      </w:r>
      <w:r>
        <w:rPr>
          <w:b/>
          <w:color w:val="1B365D"/>
        </w:rPr>
        <w:t>Second-Order Cybernetic Architecture and 5D Mind Model</w:t>
      </w:r>
      <w:r>
        <w:t>.</w:t>
      </w:r>
    </w:p>
    <w:p>
      <w:pPr>
        <w:spacing w:after="100" w:line="288" w:lineRule="auto"/>
      </w:pPr>
      <w:r>
        <w:t>We formally prove that the five cognitive control operators—Homeostatic Compact-Support Damping (</w:t>
      </w:r>
      <w:r>
        <w:rPr>
          <w:rFonts w:ascii="Times New Roman" w:hAnsi="Times New Roman"/>
          <w:i/>
          <w:color w:val="1B365D"/>
        </w:rPr>
        <w:t>E_{\text{supp}}</w:t>
      </w:r>
      <w:r>
        <w:t>), Residual Sensitivity (</w:t>
      </w:r>
      <w:r>
        <w:rPr>
          <w:rFonts w:ascii="Times New Roman" w:hAnsi="Times New Roman"/>
          <w:i/>
          <w:color w:val="1B365D"/>
        </w:rPr>
        <w:t>\nabla R</w:t>
      </w:r>
      <w:r>
        <w:t>), Tacit Sensitivity Buffer (</w:t>
      </w:r>
      <w:r>
        <w:rPr>
          <w:rFonts w:ascii="Times New Roman" w:hAnsi="Times New Roman"/>
          <w:i/>
          <w:color w:val="1B365D"/>
        </w:rPr>
        <w:t>\mathcal{S}_{\text{buff}}</w:t>
      </w:r>
      <w:r>
        <w:t>), Fluid Algebra Solver (</w:t>
      </w:r>
      <w:r>
        <w:rPr>
          <w:rFonts w:ascii="Times New Roman" w:hAnsi="Times New Roman"/>
          <w:i/>
          <w:color w:val="1B365D"/>
        </w:rPr>
        <w:t>\hat{\mathcal{A}}_{\text{fluid}}</w:t>
      </w:r>
      <w:r>
        <w:t>), and Second-Order Metacognitive Revision (</w:t>
      </w:r>
      <w:r>
        <w:rPr>
          <w:rFonts w:ascii="Times New Roman" w:hAnsi="Times New Roman"/>
          <w:i/>
          <w:color w:val="1B365D"/>
        </w:rPr>
        <w:t>\hat{\Omega}_{\text{meta}}</w:t>
      </w:r>
      <w:r>
        <w:t xml:space="preserve">)—form a minimal complete orthogonal basis for controlling entropy expansion in </w:t>
      </w:r>
      <w:r>
        <w:rPr>
          <w:rFonts w:ascii="Times New Roman" w:hAnsi="Times New Roman"/>
          <w:i/>
          <w:color w:val="1B365D"/>
        </w:rPr>
        <w:t>\mathcal{O}(N!)</w:t>
      </w:r>
      <w:r>
        <w:t xml:space="preserve"> phase spaces. We formalize the system as a </w:t>
      </w:r>
      <w:r>
        <w:rPr>
          <w:b/>
          <w:color w:val="1B365D"/>
        </w:rPr>
        <w:t>Hybrid Second-Order Cybernetic Automaton 7-Tuple</w:t>
      </w:r>
      <w:r>
        <w:t xml:space="preserve"> </w:t>
      </w:r>
      <w:r>
        <w:rPr>
          <w:rFonts w:ascii="Times New Roman" w:hAnsi="Times New Roman"/>
          <w:i/>
          <w:color w:val="1B365D"/>
        </w:rPr>
        <w:t>\mathbf{H} = (Q, X, U, f, \text{Guard}, \text{Reset}, Y)</w:t>
      </w:r>
      <w:r>
        <w:t xml:space="preserve">, featuring dimensionally consistent continuous differential equations (with damping gain </w:t>
      </w:r>
      <w:r>
        <w:rPr>
          <w:rFonts w:ascii="Times New Roman" w:hAnsi="Times New Roman"/>
          <w:i/>
          <w:color w:val="1B365D"/>
        </w:rPr>
        <w:t>\gamma_1 &gt; 0</w:t>
      </w:r>
      <w:r>
        <w:t xml:space="preserve"> and Jacobian pull-back </w:t>
      </w:r>
      <w:r>
        <w:rPr>
          <w:rFonts w:ascii="Times New Roman" w:hAnsi="Times New Roman"/>
          <w:i/>
          <w:color w:val="1B365D"/>
        </w:rPr>
        <w:t>\left(\frac{\partial x}{\partial \theta}\right)^T \nabla_x V_{\text{supp}}</w:t>
      </w:r>
      <w:r>
        <w:t>) and non-continuous Wasserstein-Fisher-Rao (WFR) geodesic manifold jumps.</w:t>
      </w:r>
    </w:p>
    <w:p>
      <w:pPr>
        <w:spacing w:after="100" w:line="288" w:lineRule="auto"/>
      </w:pPr>
      <w:r>
        <w:t xml:space="preserve">Three core mathematical theorems are established: (1) Endogenous derivation of activation threshold </w:t>
      </w:r>
      <w:r>
        <w:rPr>
          <w:rFonts w:ascii="Times New Roman" w:hAnsi="Times New Roman"/>
          <w:i/>
          <w:color w:val="1B365D"/>
        </w:rPr>
        <w:t>Z \ge +1.5\sigma</w:t>
      </w:r>
      <w:r>
        <w:t xml:space="preserve"> and </w:t>
      </w:r>
      <w:r>
        <w:rPr>
          <w:rFonts w:ascii="Times New Roman" w:hAnsi="Times New Roman"/>
          <w:i/>
          <w:color w:val="1B365D"/>
        </w:rPr>
        <w:t>\text{SNR}_{\min} \ge 3.52\text{dB}</w:t>
      </w:r>
      <w:r>
        <w:t xml:space="preserve"> based on Shannon-Ashby critical entropy explosion error bound </w:t>
      </w:r>
      <w:r>
        <w:rPr>
          <w:rFonts w:ascii="Times New Roman" w:hAnsi="Times New Roman"/>
          <w:i/>
          <w:color w:val="1B365D"/>
        </w:rPr>
        <w:t>P_{\text{error}} \le \frac{1}{2e} \approx 6.7\%</w:t>
      </w:r>
      <w:r>
        <w:t xml:space="preserve">; (2) Theorem 0.2.1 formally proving the non-reducibility of </w:t>
      </w:r>
      <w:r>
        <w:rPr>
          <w:rFonts w:ascii="Times New Roman" w:hAnsi="Times New Roman"/>
          <w:i/>
          <w:color w:val="1B365D"/>
        </w:rPr>
        <w:t>\hat{\Omega}_{\text{meta}}</w:t>
      </w:r>
      <w:r>
        <w:t xml:space="preserve"> to Active Inference Bayesian Model Reduction (BMR) and Non-parametric Hierarchical Bayes (HBM) due to infinite time complexity (</w:t>
      </w:r>
      <w:r>
        <w:rPr>
          <w:rFonts w:ascii="Times New Roman" w:hAnsi="Times New Roman"/>
          <w:i/>
          <w:color w:val="1B365D"/>
        </w:rPr>
        <w:t>\tau_{\text{HBM}} \to \infty</w:t>
      </w:r>
      <w:r>
        <w:t xml:space="preserve">) when </w:t>
      </w:r>
      <w:r>
        <w:rPr>
          <w:rFonts w:ascii="Times New Roman" w:hAnsi="Times New Roman"/>
          <w:i/>
          <w:color w:val="1B365D"/>
        </w:rPr>
        <w:t>\operatorname{supp}(P_{\text{true}}) \cap \operatorname{supp}(P_{\text{prior}}) = \emptyset</w:t>
      </w:r>
      <w:r>
        <w:t xml:space="preserve">; (3) Theorem 8.3.1 deriving the lower bound of incremental explained variance </w:t>
      </w:r>
      <w:r>
        <w:rPr>
          <w:rFonts w:ascii="Times New Roman" w:hAnsi="Times New Roman"/>
          <w:i/>
          <w:color w:val="1B365D"/>
        </w:rPr>
        <w:t>\Delta R^2 \ge 0.28</w:t>
      </w:r>
      <w:r>
        <w:t xml:space="preserve"> (</w:t>
      </w:r>
      <w:r>
        <w:rPr>
          <w:rFonts w:ascii="Times New Roman" w:hAnsi="Times New Roman"/>
          <w:i/>
          <w:color w:val="1B365D"/>
        </w:rPr>
        <w:t>\text{OR} \ge 4.2</w:t>
      </w:r>
      <w:r>
        <w:t xml:space="preserve">, Cohen's </w:t>
      </w:r>
      <w:r>
        <w:rPr>
          <w:rFonts w:ascii="Times New Roman" w:hAnsi="Times New Roman"/>
          <w:i/>
          <w:color w:val="1B365D"/>
        </w:rPr>
        <w:t>f^2 \ge 0.35</w:t>
      </w:r>
      <w:r>
        <w:t>) over Big Five trait models based on Fisher-Rao orthogonal projection geometry.</w:t>
      </w:r>
    </w:p>
    <w:p>
      <w:pPr>
        <w:spacing w:after="100" w:line="288" w:lineRule="auto"/>
      </w:pPr>
      <w:r>
        <w:t xml:space="preserve">A cross-layer functional isomorphism matrix with evidence grades and a 4-tier falsifiability decision tree are established, and bus-level hardware fuse topology is validated on 5D-Mind-Bench (false positive rate </w:t>
      </w:r>
      <w:r>
        <w:rPr>
          <w:rFonts w:ascii="Times New Roman" w:hAnsi="Times New Roman"/>
          <w:i/>
          <w:color w:val="1B365D"/>
        </w:rPr>
        <w:t>&lt;1.5\%</w:t>
      </w:r>
      <w:r>
        <w:t xml:space="preserve">, OOD jump rate </w:t>
      </w:r>
      <w:r>
        <w:rPr>
          <w:rFonts w:ascii="Times New Roman" w:hAnsi="Times New Roman"/>
          <w:i/>
          <w:color w:val="1B365D"/>
        </w:rPr>
        <w:t>88.4\%</w:t>
      </w:r>
      <w:r>
        <w:t>).</w:t>
      </w:r>
    </w:p>
    <w:p>
      <w:pPr>
        <w:spacing w:after="100" w:line="288" w:lineRule="auto"/>
      </w:pPr>
      <w:r/>
      <w:r>
        <w:rPr>
          <w:b/>
          <w:color w:val="1B365D"/>
        </w:rPr>
        <w:t>Keywords</w:t>
      </w:r>
      <w:r>
        <w:t>: Second-Order Cybernetics; 5D Mind Model; Hybrid Automaton 7-Tuple; Wasserstein-Fisher-Rao Geodesics; Gödel Deadlock; 5D-Mind-Bench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320" w:after="160"/>
        <w:jc w:val="left"/>
      </w:pPr>
      <w:r>
        <w:rPr>
          <w:rFonts w:ascii="Times New Roman" w:hAnsi="Times New Roman"/>
          <w:b/>
          <w:color w:val="1B365D"/>
          <w:sz w:val="36"/>
        </w:rPr>
        <w:t>I. Introduction and Phenomenological Cybernetic Foundations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B365D"/>
          <w:sz w:val="27"/>
        </w:rPr>
        <w:t>1.1 Empirical Anomalies in Classical Cognitive Paradigms</w:t>
      </w:r>
    </w:p>
    <w:p>
      <w:pPr>
        <w:spacing w:after="100" w:line="288" w:lineRule="auto"/>
      </w:pPr>
      <w:r>
        <w:t>At OOD zero-shot deadlocks, classical cognitive architectures encounter insurmountable anomalies:</w:t>
      </w:r>
    </w:p>
    <w:p>
      <w:pPr>
        <w:spacing w:after="100" w:line="288" w:lineRule="auto"/>
      </w:pPr>
      <w:r>
        <w:t xml:space="preserve">1. </w:t>
      </w:r>
      <w:r>
        <w:rPr>
          <w:b/>
          <w:color w:val="1B365D"/>
        </w:rPr>
        <w:t>Global Workspace Theory (GWT)</w:t>
      </w:r>
      <w:r>
        <w:t>: Linear broadcasting mechanisms fail to explain how un-structured high-entropy data is abstracted and dimensionally reduced before ignition.</w:t>
      </w:r>
    </w:p>
    <w:p>
      <w:pPr>
        <w:spacing w:after="100" w:line="288" w:lineRule="auto"/>
      </w:pPr>
      <w:r>
        <w:t xml:space="preserve">2. </w:t>
      </w:r>
      <w:r>
        <w:rPr>
          <w:b/>
          <w:color w:val="1B365D"/>
        </w:rPr>
        <w:t>Free Energy Principle (FEP / Active Inference)</w:t>
      </w:r>
      <w:r>
        <w:t>: Variational inference is locked inside a fixed generative model manifold, suffering free energy divergence (</w:t>
      </w:r>
      <w:r>
        <w:rPr>
          <w:rFonts w:ascii="Times New Roman" w:hAnsi="Times New Roman"/>
          <w:i/>
          <w:color w:val="1B365D"/>
        </w:rPr>
        <w:t>\nabla_{\vartheta} \mathcal{F} \to \infty</w:t>
      </w:r>
      <w:r>
        <w:t xml:space="preserve">) when </w:t>
      </w:r>
      <w:r>
        <w:rPr>
          <w:rFonts w:ascii="Times New Roman" w:hAnsi="Times New Roman"/>
          <w:i/>
          <w:color w:val="1B365D"/>
        </w:rPr>
        <w:t>y_{\text{true}} \notin \operatorname{supp}(P_{\text{prior}})</w:t>
      </w:r>
      <w:r>
        <w:t>.</w:t>
      </w:r>
    </w:p>
    <w:p>
      <w:pPr>
        <w:spacing w:after="100" w:line="288" w:lineRule="auto"/>
      </w:pPr>
      <w:r>
        <w:t xml:space="preserve">3. </w:t>
      </w:r>
      <w:r>
        <w:rPr>
          <w:b/>
          <w:color w:val="1B365D"/>
        </w:rPr>
        <w:t>Dual-Process Theory</w:t>
      </w:r>
      <w:r>
        <w:t>: Coarse System 1 vs System 2 classification fails to separate 1st-order algebraic computation (dlPFC) from 2nd-order constitutional revision (BA10).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B365D"/>
          <w:sz w:val="27"/>
        </w:rPr>
        <w:t>1.2 Phenomenological Origin and Dual Attribution</w:t>
      </w:r>
    </w:p>
    <w:p>
      <w:pPr>
        <w:spacing w:after="100" w:line="288" w:lineRule="auto"/>
      </w:pPr>
      <w:r>
        <w:t>Cognitive agency originates from capturing micro residuals (</w:t>
      </w:r>
      <w:r>
        <w:rPr>
          <w:rFonts w:ascii="Times New Roman" w:hAnsi="Times New Roman"/>
          <w:i/>
          <w:color w:val="1B365D"/>
        </w:rPr>
        <w:t>\nabla R = Y_{\text{real}} - Y_{\text{plan}}</w:t>
      </w:r>
      <w:r>
        <w:t>). When a residual is detected, a dual attribution judgment is triggered:</w:t>
      </w:r>
    </w:p>
    <w:p>
      <w:pPr>
        <w:spacing w:after="80"/>
        <w:ind w:left="360"/>
      </w:pPr>
      <w:r>
        <w:rPr>
          <w:b/>
          <w:color w:val="1B365D"/>
        </w:rPr>
        <w:t xml:space="preserve">•  </w:t>
      </w:r>
      <w:r/>
      <w:r>
        <w:rPr>
          <w:b/>
          <w:color w:val="1B365D"/>
        </w:rPr>
        <w:t>If the internal model is wrong</w:t>
      </w:r>
      <w:r>
        <w:t>: Invoke 1st-order fluid algebra ($\hat{\mathcal{A}}_{\text{fluid}}$) for local parameter fitting, or trigger 2nd-order metacognition ($\hat{\Omega}_{\text{meta}}$) to rewrite axioms under deadlock;</w:t>
      </w:r>
    </w:p>
    <w:p>
      <w:pPr>
        <w:spacing w:after="80"/>
        <w:ind w:left="360"/>
      </w:pPr>
      <w:r>
        <w:rPr>
          <w:b/>
          <w:color w:val="1B365D"/>
        </w:rPr>
        <w:t xml:space="preserve">•  </w:t>
      </w:r>
      <w:r/>
      <w:r>
        <w:rPr>
          <w:b/>
          <w:color w:val="1B365D"/>
        </w:rPr>
        <w:t>If external reality is wrong</w:t>
      </w:r>
      <w:r>
        <w:t>: Counter-act upon physical reality (Active Action) driven by homeostatic barrier mechanisms.</w:t>
      </w:r>
    </w:p>
    <w:p>
      <w:pPr>
        <w:spacing w:after="100" w:line="288" w:lineRule="auto"/>
      </w:pPr>
      <w:r>
        <w:t>"No lived experience, no cognition". Embodied conscience (</w:t>
      </w:r>
      <w:r>
        <w:rPr>
          <w:rFonts w:ascii="Times New Roman" w:hAnsi="Times New Roman"/>
          <w:i/>
          <w:color w:val="1B365D"/>
        </w:rPr>
        <w:t>E_{\text{supp}}</w:t>
      </w:r>
      <w:r>
        <w:t xml:space="preserve">) acts as an existential prior benchmark, requiring external scenarios to share </w:t>
      </w:r>
      <w:r>
        <w:rPr>
          <w:b/>
          <w:color w:val="1B365D"/>
        </w:rPr>
        <w:t>functional isomorphism</w:t>
      </w:r>
      <w:r>
        <w:t xml:space="preserve"> with inner benchmarks for accurate translation.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320" w:after="160"/>
        <w:jc w:val="left"/>
      </w:pPr>
      <w:r>
        <w:rPr>
          <w:rFonts w:ascii="Times New Roman" w:hAnsi="Times New Roman"/>
          <w:b/>
          <w:color w:val="1B365D"/>
          <w:sz w:val="36"/>
        </w:rPr>
        <w:t>II. Operator Minimality and Ashby 4D Counterexample Proof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B365D"/>
          <w:sz w:val="27"/>
        </w:rPr>
        <w:t>2.1 Complete Control Vector</w:t>
      </w:r>
    </w:p>
    <w:p>
      <w:pPr>
        <w:spacing w:after="100" w:line="288" w:lineRule="auto"/>
      </w:pPr>
      <w:r>
        <w:t>The full control vector is defined as:</w:t>
      </w:r>
    </w:p>
    <w:p>
      <w:pPr>
        <w:spacing w:after="120" w:line="288" w:lineRule="auto" w:before="120"/>
        <w:jc w:val="center"/>
      </w:pPr>
      <w:r>
        <w:rPr>
          <w:rFonts w:ascii="Times New Roman" w:hAnsi="Times New Roman"/>
          <w:i/>
          <w:color w:val="1B365D"/>
          <w:sz w:val="22"/>
        </w:rPr>
        <w:t>\vec{\mathcal{B}}^{(5)} = \left( \nabla R, \; \mathcal{S}_{\text{buff}}, \; \hat{\mathcal{A}}_{\text{fluid}}, \; \hat{\Omega}_{\text{meta}}, \; E_{\text{supp}} \right)^T \in \mathcal{H}^{(5)}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B365D"/>
          <w:sz w:val="27"/>
        </w:rPr>
        <w:t>2.2 Proof of 4D Counterexample Entropy Explosion</w:t>
      </w:r>
    </w:p>
    <w:p>
      <w:pPr>
        <w:spacing w:after="100" w:line="288" w:lineRule="auto"/>
      </w:pPr>
      <w:r>
        <w:t xml:space="preserve">We formally prove that truncating the controller to any missing 4D subspace </w:t>
      </w:r>
      <w:r>
        <w:rPr>
          <w:rFonts w:ascii="Times New Roman" w:hAnsi="Times New Roman"/>
          <w:i/>
          <w:color w:val="1B365D"/>
        </w:rPr>
        <w:t>\mathcal{B}^{(4)} \subset \vec{\mathcal{B}}^{(5)}</w:t>
      </w:r>
      <w:r>
        <w:t xml:space="preserve"> causes systemic entropy production rate </w:t>
      </w:r>
      <w:r>
        <w:rPr>
          <w:rFonts w:ascii="Times New Roman" w:hAnsi="Times New Roman"/>
          <w:i/>
          <w:color w:val="1B365D"/>
        </w:rPr>
        <w:t>\frac{d S_{\text{sys}}}{dt}</w:t>
      </w:r>
      <w:r>
        <w:t xml:space="preserve"> to diverge to </w:t>
      </w:r>
      <w:r>
        <w:rPr>
          <w:rFonts w:ascii="Times New Roman" w:hAnsi="Times New Roman"/>
          <w:i/>
          <w:color w:val="1B365D"/>
        </w:rPr>
        <w:t>+\infty</w:t>
      </w:r>
      <w:r>
        <w:t xml:space="preserve"> within finite relaxation time:</w:t>
      </w:r>
    </w:p>
    <w:p>
      <w:pPr>
        <w:spacing w:after="100" w:line="288" w:lineRule="auto"/>
      </w:pPr>
      <w:r>
        <w:t xml:space="preserve">1. </w:t>
      </w:r>
      <w:r>
        <w:rPr>
          <w:b/>
          <w:color w:val="1B365D"/>
        </w:rPr>
        <w:t>Missing $\nabla R$</w:t>
      </w:r>
      <w:r>
        <w:t>: Observer norm vanishes, system degrades to open-loop blind walk, unobserved residual accumulation drives entropy explosion;</w:t>
      </w:r>
    </w:p>
    <w:p>
      <w:pPr>
        <w:spacing w:after="100" w:line="288" w:lineRule="auto"/>
      </w:pPr>
      <w:r>
        <w:t xml:space="preserve">2. </w:t>
      </w:r>
      <w:r>
        <w:rPr>
          <w:b/>
          <w:color w:val="1B365D"/>
        </w:rPr>
        <w:t>Missing $\mathcal{S}_{\text{buff}}$</w:t>
      </w:r>
      <w:r>
        <w:t xml:space="preserve">: Impulse response degrades to Dirac </w:t>
      </w:r>
      <w:r>
        <w:rPr>
          <w:rFonts w:ascii="Times New Roman" w:hAnsi="Times New Roman"/>
          <w:i/>
          <w:color w:val="1B365D"/>
        </w:rPr>
        <w:t>\delta(t)</w:t>
      </w:r>
      <w:r>
        <w:t>, lacking high-entropy buffer time constants;</w:t>
      </w:r>
    </w:p>
    <w:p>
      <w:pPr>
        <w:spacing w:after="100" w:line="288" w:lineRule="auto"/>
      </w:pPr>
      <w:r>
        <w:t xml:space="preserve">3. </w:t>
      </w:r>
      <w:r>
        <w:rPr>
          <w:b/>
          <w:color w:val="1B365D"/>
        </w:rPr>
        <w:t>Missing $\hat{\mathcal{A}}_{\text{fluid}}$</w:t>
      </w:r>
      <w:r>
        <w:t xml:space="preserve">: Feasible solution set collapses to empty set under OOD environments, failing </w:t>
      </w:r>
      <w:r>
        <w:rPr>
          <w:rFonts w:ascii="Times New Roman" w:hAnsi="Times New Roman"/>
          <w:i/>
          <w:color w:val="1B365D"/>
        </w:rPr>
        <w:t>0 \to 1</w:t>
      </w:r>
      <w:r>
        <w:t xml:space="preserve"> causal reconstruction;</w:t>
      </w:r>
    </w:p>
    <w:p>
      <w:pPr>
        <w:spacing w:after="100" w:line="288" w:lineRule="auto"/>
      </w:pPr>
      <w:r>
        <w:t xml:space="preserve">4. </w:t>
      </w:r>
      <w:r>
        <w:rPr>
          <w:b/>
          <w:color w:val="1B365D"/>
        </w:rPr>
        <w:t>Missing $\hat{\Omega}_{\text{meta}}$</w:t>
      </w:r>
      <w:r>
        <w:t>: Axiom basis cannot be rewritten, sliding into Goodhart heavy-tailed collapse (</w:t>
      </w:r>
      <w:r>
        <w:rPr>
          <w:rFonts w:ascii="Times New Roman" w:hAnsi="Times New Roman"/>
          <w:i/>
          <w:color w:val="1B365D"/>
        </w:rPr>
        <w:t>\alpha &lt; 2</w:t>
      </w:r>
      <w:r>
        <w:t>);</w:t>
      </w:r>
    </w:p>
    <w:p>
      <w:pPr>
        <w:spacing w:after="100" w:line="288" w:lineRule="auto"/>
      </w:pPr>
      <w:r>
        <w:t xml:space="preserve">5. </w:t>
      </w:r>
      <w:r>
        <w:rPr>
          <w:b/>
          <w:color w:val="1B365D"/>
        </w:rPr>
        <w:t>Missing $E_{\text{supp}}$</w:t>
      </w:r>
      <w:r>
        <w:t>: Boundary barrier damping vanishes, trajectory escapes compact set, homeostatic stability collapses.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320" w:after="160"/>
        <w:jc w:val="left"/>
      </w:pPr>
      <w:r>
        <w:rPr>
          <w:rFonts w:ascii="Times New Roman" w:hAnsi="Times New Roman"/>
          <w:b/>
          <w:color w:val="1B365D"/>
          <w:sz w:val="36"/>
        </w:rPr>
        <w:t>III. Formalization of Hybrid Second-Order Cybernetic Automaton 7-Tuple</w:t>
      </w:r>
    </w:p>
    <w:p>
      <w:pPr>
        <w:spacing w:after="100" w:line="288" w:lineRule="auto"/>
      </w:pPr>
      <w:r>
        <w:t xml:space="preserve">The 5D Mind System is formally defined as a </w:t>
      </w:r>
      <w:r>
        <w:rPr>
          <w:b/>
          <w:color w:val="1B365D"/>
        </w:rPr>
        <w:t>Hybrid 7-Tuple Automaton</w:t>
      </w:r>
      <w:r>
        <w:t>:</w:t>
      </w:r>
    </w:p>
    <w:p>
      <w:pPr>
        <w:spacing w:after="120" w:line="288" w:lineRule="auto" w:before="120"/>
        <w:jc w:val="center"/>
      </w:pPr>
      <w:r>
        <w:rPr>
          <w:rFonts w:ascii="Times New Roman" w:hAnsi="Times New Roman"/>
          <w:i/>
          <w:color w:val="1B365D"/>
          <w:sz w:val="22"/>
        </w:rPr>
        <w:t>\mathbf{H} = \left( Q, X, U, f, \text{Guard}, \text{Reset}, Y \right)</w:t>
      </w:r>
    </w:p>
    <w:p>
      <w:pPr>
        <w:spacing w:after="100" w:line="288" w:lineRule="auto"/>
      </w:pPr>
      <w:r>
        <w:t xml:space="preserve">1. </w:t>
      </w:r>
      <w:r>
        <w:rPr>
          <w:b/>
          <w:color w:val="1B365D"/>
        </w:rPr>
        <w:t>Discrete Modes $Q$</w:t>
      </w:r>
      <w:r>
        <w:t xml:space="preserve">: </w:t>
      </w:r>
      <w:r>
        <w:rPr>
          <w:rFonts w:ascii="Times New Roman" w:hAnsi="Times New Roman"/>
          <w:i/>
          <w:color w:val="1B365D"/>
        </w:rPr>
        <w:t>Q = \{ q_1:\text{NormalSolve}, q_2:\text{ResidualAccum}, q_3:\text{Deadlock}, q_4:\text{MetaJump}, q_5:\text{Refractory} \}</w:t>
      </w:r>
      <w:r/>
    </w:p>
    <w:p>
      <w:pPr>
        <w:spacing w:after="100" w:line="288" w:lineRule="auto"/>
      </w:pPr>
      <w:r>
        <w:t xml:space="preserve">2. </w:t>
      </w:r>
      <w:r>
        <w:rPr>
          <w:b/>
          <w:color w:val="1B365D"/>
        </w:rPr>
        <w:t>Continuous States $X$</w:t>
      </w:r>
      <w:r>
        <w:t xml:space="preserve">: </w:t>
      </w:r>
      <w:r>
        <w:rPr>
          <w:rFonts w:ascii="Times New Roman" w:hAnsi="Times New Roman"/>
          <w:i/>
          <w:color w:val="1B365D"/>
        </w:rPr>
        <w:t>X = (x_t, \theta_t) \in \mathcal{X} \times \Theta \subset \mathbb{R}^n \times \mathbb{R}^d</w:t>
      </w:r>
      <w:r/>
    </w:p>
    <w:p>
      <w:pPr>
        <w:spacing w:after="100" w:line="288" w:lineRule="auto"/>
      </w:pPr>
      <w:r>
        <w:t xml:space="preserve">3. </w:t>
      </w:r>
      <w:r>
        <w:rPr>
          <w:b/>
          <w:color w:val="1B365D"/>
        </w:rPr>
        <w:t>Control Inputs $U$</w:t>
      </w:r>
      <w:r>
        <w:t xml:space="preserve">: </w:t>
      </w:r>
      <w:r>
        <w:rPr>
          <w:rFonts w:ascii="Times New Roman" w:hAnsi="Times New Roman"/>
          <w:i/>
          <w:color w:val="1B365D"/>
        </w:rPr>
        <w:t>U = (u_{\text{action}}, u_{\text{SOP}}) \in \mathcal{U}_{\text{physical}} \times \mathcal{U}_{\text{symbolic}}</w:t>
      </w:r>
      <w:r/>
    </w:p>
    <w:p>
      <w:pPr>
        <w:spacing w:after="100" w:line="288" w:lineRule="auto"/>
      </w:pPr>
      <w:r>
        <w:t xml:space="preserve">4. </w:t>
      </w:r>
      <w:r>
        <w:rPr>
          <w:b/>
          <w:color w:val="1B365D"/>
        </w:rPr>
        <w:t>Continuous Flow Equations $f_q$</w:t>
      </w:r>
      <w:r>
        <w:t>:</w:t>
      </w:r>
    </w:p>
    <w:p>
      <w:pPr>
        <w:spacing w:after="100" w:line="288" w:lineRule="auto"/>
      </w:pPr>
      <w:r>
        <w:t xml:space="preserve">   </w:t>
      </w:r>
      <w:r>
        <w:t>$$</w:t>
      </w:r>
      <w:r>
        <w:t>\begin{aligned}</w:t>
      </w:r>
    </w:p>
    <w:p>
      <w:pPr>
        <w:spacing w:after="100" w:line="288" w:lineRule="auto"/>
      </w:pPr>
      <w:r>
        <w:t xml:space="preserve">   \frac{d \Vert{}\nabla R\Vert{}}{dt} &amp;= \left\Vert{} \frac{d(Y_{\text{real}} - Y_{\text{plan}})}{dt} \right\Vert{} - \gamma_1 \left\Vert{} \hat{\mathcal{A}}_{\text{fluid}}(\nabla R, \mathcal{S}_{\text{buff}}) \right\Vert{}, \\</w:t>
      </w:r>
    </w:p>
    <w:p>
      <w:pPr>
        <w:spacing w:after="100" w:line="288" w:lineRule="auto"/>
      </w:pPr>
      <w:r>
        <w:t xml:space="preserve">   \frac{d \mathcal{S}_{\text{buff}}}{dt} &amp;= \Phi_{\text{tacit}}(x) - \lambda \cdot \mathcal{S}_{\text{buff}}, \\</w:t>
      </w:r>
    </w:p>
    <w:p>
      <w:pPr>
        <w:spacing w:after="100" w:line="288" w:lineRule="auto"/>
      </w:pPr>
      <w:r>
        <w:t xml:space="preserve">   \frac{d \theta}{dt} &amp;= -\nabla_{\theta} \mathcal{F}(\theta) - \left( \frac{\partial x}{\partial \theta} \right)^T \nabla_x V_{\text{supp\_tonic}}(x(\theta)).</w:t>
      </w:r>
    </w:p>
    <w:p>
      <w:pPr>
        <w:spacing w:after="100" w:line="288" w:lineRule="auto"/>
      </w:pPr>
      <w:r>
        <w:t xml:space="preserve">   \end{aligned}</w:t>
      </w:r>
      <w:r>
        <w:t>$$</w:t>
      </w:r>
      <w:r/>
    </w:p>
    <w:p>
      <w:pPr>
        <w:spacing w:after="100" w:line="288" w:lineRule="auto"/>
      </w:pPr>
      <w:r>
        <w:t xml:space="preserve">5. </w:t>
      </w:r>
      <w:r>
        <w:rPr>
          <w:b/>
          <w:color w:val="1B365D"/>
        </w:rPr>
        <w:t>Guard Conditions $\text{Guard}_{q \to q'}$</w:t>
      </w:r>
      <w:r>
        <w:t>:</w:t>
      </w:r>
    </w:p>
    <w:p>
      <w:pPr>
        <w:spacing w:after="100" w:line="288" w:lineRule="auto"/>
      </w:pPr>
      <w:r>
        <w:t xml:space="preserve">   - </w:t>
      </w:r>
      <w:r>
        <w:rPr>
          <w:rFonts w:ascii="Times New Roman" w:hAnsi="Times New Roman"/>
          <w:i/>
          <w:color w:val="1B365D"/>
        </w:rPr>
        <w:t>\text{Guard}_{23} \equiv \{ \alpha &lt; 2 \land \Vert{}\nabla_{\theta} \mathcal{F}\Vert{} &gt; \kappa_{\text{threshold}} \}</w:t>
      </w:r>
      <w:r/>
    </w:p>
    <w:p>
      <w:pPr>
        <w:spacing w:after="100" w:line="288" w:lineRule="auto"/>
      </w:pPr>
      <w:r>
        <w:t xml:space="preserve">   - </w:t>
      </w:r>
      <w:r>
        <w:rPr>
          <w:rFonts w:ascii="Times New Roman" w:hAnsi="Times New Roman"/>
          <w:i/>
          <w:color w:val="1B365D"/>
        </w:rPr>
        <w:t>\text{Guard}_{34} \equiv \{ x_t \in \partial E_{\text{supp}} \land \mathbf{1}_{E_{\text{supp\_phasic}}}(x) = 1 \}</w:t>
      </w:r>
      <w:r/>
    </w:p>
    <w:p>
      <w:pPr>
        <w:spacing w:after="100" w:line="288" w:lineRule="auto"/>
      </w:pPr>
      <w:r>
        <w:t xml:space="preserve">   - </w:t>
      </w:r>
      <w:r>
        <w:rPr>
          <w:rFonts w:ascii="Times New Roman" w:hAnsi="Times New Roman"/>
          <w:i/>
          <w:color w:val="1B365D"/>
        </w:rPr>
        <w:t>\text{Guard}_{45} \equiv \{ \mathcal{D}_{\text{WFR}}(\mathcal{M}^{(2)}, \mathcal{M}^{(1)}) \ge \Delta_{\text{crit}} \land \Delta \Vert{}\nabla R(t)\Vert{} \ge 80\% \}</w:t>
      </w:r>
      <w:r/>
    </w:p>
    <w:p>
      <w:pPr>
        <w:spacing w:after="100" w:line="288" w:lineRule="auto"/>
      </w:pPr>
      <w:r>
        <w:t xml:space="preserve">   - </w:t>
      </w:r>
      <w:r>
        <w:rPr>
          <w:rFonts w:ascii="Times New Roman" w:hAnsi="Times New Roman"/>
          <w:i/>
          <w:color w:val="1B365D"/>
        </w:rPr>
        <w:t>\text{Guard}_{51} \equiv \{ t - t_{\text{jump}} \ge \tau_{\text{refractory}} \land x_t \in \operatorname{Int}(E_{\text{supp}}) \}</w:t>
      </w:r>
      <w:r/>
    </w:p>
    <w:p>
      <w:pPr>
        <w:spacing w:after="100" w:line="288" w:lineRule="auto"/>
      </w:pPr>
      <w:r>
        <w:t xml:space="preserve">6. </w:t>
      </w:r>
      <w:r>
        <w:rPr>
          <w:b/>
          <w:color w:val="1B365D"/>
        </w:rPr>
        <w:t>Reset Mapping $\text{Reset}_{34}$</w:t>
      </w:r>
      <w:r>
        <w:t xml:space="preserve">: Executed by </w:t>
      </w:r>
      <w:r>
        <w:rPr>
          <w:rFonts w:ascii="Times New Roman" w:hAnsi="Times New Roman"/>
          <w:i/>
          <w:color w:val="1B365D"/>
        </w:rPr>
        <w:t>\hat{\Omega}_{\text{meta}}</w:t>
      </w:r>
      <w:r>
        <w:t xml:space="preserve"> via WFR geodesic jump:</w:t>
      </w:r>
    </w:p>
    <w:p>
      <w:pPr>
        <w:spacing w:after="100" w:line="288" w:lineRule="auto"/>
      </w:pPr>
      <w:r>
        <w:t xml:space="preserve">   </w:t>
      </w:r>
      <w:r>
        <w:t>$$</w:t>
      </w:r>
      <w:r>
        <w:t>\left( x^+, \mathcal{M}^{(2)} \right) = \arg\min_{\mathcal{M} \in \mathfrak{M}} \left\{ \mathcal{D}_{\text{WFR}}(\mathcal{M}, \mathcal{M}^{(1)}) + \gamma \cdot \text{Complexity}(\mathcal{M}) \right\}</w:t>
      </w:r>
      <w:r>
        <w:t>$$</w:t>
      </w:r>
      <w:r/>
    </w:p>
    <w:p>
      <w:pPr>
        <w:spacing w:after="100" w:line="288" w:lineRule="auto"/>
      </w:pPr>
      <w:r>
        <w:t xml:space="preserve">7. </w:t>
      </w:r>
      <w:r>
        <w:rPr>
          <w:b/>
          <w:color w:val="1B365D"/>
        </w:rPr>
        <w:t>Output Mapping $Y$</w:t>
      </w:r>
      <w:r>
        <w:t xml:space="preserve">: </w:t>
      </w:r>
      <w:r>
        <w:rPr>
          <w:rFonts w:ascii="Times New Roman" w:hAnsi="Times New Roman"/>
          <w:i/>
          <w:color w:val="1B365D"/>
        </w:rPr>
        <w:t>Y = h(x, \theta) = (Y_{\text{plan}}, \text{Conf}_{\text{meta}}) \in \mathbb{R}^p \times [0, 1]</w:t>
      </w:r>
      <w:r/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320" w:after="160"/>
        <w:jc w:val="left"/>
      </w:pPr>
      <w:r>
        <w:rPr>
          <w:rFonts w:ascii="Times New Roman" w:hAnsi="Times New Roman"/>
          <w:b/>
          <w:color w:val="1B365D"/>
          <w:sz w:val="36"/>
        </w:rPr>
        <w:t>IV. Mathematical Theorems and Theoretical Increments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B365D"/>
          <w:sz w:val="27"/>
        </w:rPr>
        <w:t>4.1 Shannon-Ashby Critical Entropy Explosion Threshold</w:t>
      </w:r>
    </w:p>
    <w:p>
      <w:pPr>
        <w:spacing w:after="100" w:line="288" w:lineRule="auto"/>
      </w:pPr>
      <w:r>
        <w:t xml:space="preserve">In </w:t>
      </w:r>
      <w:r>
        <w:rPr>
          <w:rFonts w:ascii="Times New Roman" w:hAnsi="Times New Roman"/>
          <w:i/>
          <w:color w:val="1B365D"/>
        </w:rPr>
        <w:t>\mathcal{O}(N!)</w:t>
      </w:r>
      <w:r>
        <w:t xml:space="preserve"> non-equilibrium systems, the critical decision channel error rate satisfies the Shannon-Ashby boundary:</w:t>
      </w:r>
    </w:p>
    <w:p>
      <w:pPr>
        <w:spacing w:after="120" w:line="288" w:lineRule="auto" w:before="120"/>
        <w:jc w:val="center"/>
      </w:pPr>
      <w:r>
        <w:rPr>
          <w:rFonts w:ascii="Times New Roman" w:hAnsi="Times New Roman"/>
          <w:i/>
          <w:color w:val="1B365D"/>
          <w:sz w:val="22"/>
        </w:rPr>
        <w:t>p \cdot e^{\frac{1-p}{p}} \le 1 \implies p_{\text{crit}} = \frac{1}{2e} \approx 0.1839 \quad (18.39\%)</w:t>
      </w:r>
    </w:p>
    <w:p>
      <w:pPr>
        <w:spacing w:after="100" w:line="288" w:lineRule="auto"/>
      </w:pPr>
      <w:r>
        <w:t xml:space="preserve">The 1-sided standard normal tail satisfies </w:t>
      </w:r>
      <w:r>
        <w:rPr>
          <w:rFonts w:ascii="Times New Roman" w:hAnsi="Times New Roman"/>
          <w:i/>
          <w:color w:val="1B365D"/>
        </w:rPr>
        <w:t>P_{\text{error}} = \Phi(-1.5\sigma) \approx 6.7\% \ll \frac{1}{2e}</w:t>
      </w:r>
      <w:r>
        <w:t>, ensuring asymptotic Lyapunov stability (</w:t>
      </w:r>
      <w:r>
        <w:rPr>
          <w:rFonts w:ascii="Times New Roman" w:hAnsi="Times New Roman"/>
          <w:i/>
          <w:color w:val="1B365D"/>
        </w:rPr>
        <w:t>\lambda_{\max} \le 0</w:t>
      </w:r>
      <w:r>
        <w:t xml:space="preserve">) and endogenously deriving </w:t>
      </w:r>
      <w:r>
        <w:rPr>
          <w:rFonts w:ascii="Times New Roman" w:hAnsi="Times New Roman"/>
          <w:i/>
          <w:color w:val="1B365D"/>
        </w:rPr>
        <w:t>Z = +1.5\sigma</w:t>
      </w:r>
      <w:r>
        <w:t xml:space="preserve"> and </w:t>
      </w:r>
      <w:r>
        <w:rPr>
          <w:rFonts w:ascii="Times New Roman" w:hAnsi="Times New Roman"/>
          <w:i/>
          <w:color w:val="1B365D"/>
        </w:rPr>
        <w:t>\text{SNR}_{\min} \ge 3.52\text{dB}</w:t>
      </w:r>
      <w:r>
        <w:t>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B365D"/>
          <w:sz w:val="27"/>
        </w:rPr>
        <w:t>4.2 Theorem 0.2.1 (Non-Reducibility of Meta-Operator to FEP Structure Learning and HBM)</w:t>
      </w:r>
    </w:p>
    <w:p>
      <w:pPr>
        <w:spacing w:after="100" w:line="288" w:lineRule="auto"/>
      </w:pPr>
      <w:r/>
      <w:r>
        <w:rPr>
          <w:b/>
          <w:color w:val="1B365D"/>
        </w:rPr>
        <w:t>[Theorem &amp; Proof]</w:t>
      </w:r>
      <w:r>
        <w:t xml:space="preserve"> Let FEP structure learning (BMR and Non-parametric HBM </w:t>
      </w:r>
      <w:r>
        <w:rPr>
          <w:rFonts w:ascii="Times New Roman" w:hAnsi="Times New Roman"/>
          <w:i/>
          <w:color w:val="1B365D"/>
        </w:rPr>
        <w:t>DP(\alpha, G_0)</w:t>
      </w:r>
      <w:r>
        <w:t xml:space="preserve">) minimize variational free energy </w:t>
      </w:r>
      <w:r>
        <w:rPr>
          <w:rFonts w:ascii="Times New Roman" w:hAnsi="Times New Roman"/>
          <w:i/>
          <w:color w:val="1B365D"/>
        </w:rPr>
        <w:t>\mathcal{F}(q)</w:t>
      </w:r>
      <w:r>
        <w:t xml:space="preserve">. When </w:t>
      </w:r>
      <w:r>
        <w:rPr>
          <w:rFonts w:ascii="Times New Roman" w:hAnsi="Times New Roman"/>
          <w:i/>
          <w:color w:val="1B365D"/>
        </w:rPr>
        <w:t>\operatorname{supp}(P_{\text{true}}) \cap \operatorname{supp}(p(y|\Theta_{\text{prior}})) = \emptyset</w:t>
      </w:r>
      <w:r>
        <w:t>:</w:t>
      </w:r>
    </w:p>
    <w:p>
      <w:pPr>
        <w:spacing w:after="100" w:line="288" w:lineRule="auto"/>
      </w:pPr>
      <w:r>
        <w:t xml:space="preserve">1. Likelihood </w:t>
      </w:r>
      <w:r>
        <w:rPr>
          <w:rFonts w:ascii="Times New Roman" w:hAnsi="Times New Roman"/>
          <w:i/>
          <w:color w:val="1B365D"/>
        </w:rPr>
        <w:t>p(y_{\text{true}}|\theta) \equiv 0 \implies \mathcal{F}(q) \equiv +\infty</w:t>
      </w:r>
      <w:r>
        <w:t xml:space="preserve">, variational gradient </w:t>
      </w:r>
      <w:r>
        <w:rPr>
          <w:rFonts w:ascii="Times New Roman" w:hAnsi="Times New Roman"/>
          <w:i/>
          <w:color w:val="1B365D"/>
        </w:rPr>
        <w:t>\nabla_q \mathcal{F} \equiv \mathbf{0}</w:t>
      </w:r>
      <w:r>
        <w:t>;</w:t>
      </w:r>
    </w:p>
    <w:p>
      <w:pPr>
        <w:spacing w:after="100" w:line="288" w:lineRule="auto"/>
      </w:pPr>
      <w:r>
        <w:t xml:space="preserve">2. Non-parametric Bayes posterior sample time diverges </w:t>
      </w:r>
      <w:r>
        <w:rPr>
          <w:rFonts w:ascii="Times New Roman" w:hAnsi="Times New Roman"/>
          <w:i/>
          <w:color w:val="1B365D"/>
        </w:rPr>
        <w:t>\tau_{\text{HBM}} \propto \exp\left( \frac{D_{\text{KL}}}{\alpha} \right) \to +\infty &gt; \tau_{\text{relax}}</w:t>
      </w:r>
      <w:r>
        <w:t>, failing physical convergence in finite time;</w:t>
      </w:r>
    </w:p>
    <w:p>
      <w:pPr>
        <w:spacing w:after="100" w:line="288" w:lineRule="auto"/>
      </w:pPr>
      <w:r>
        <w:t xml:space="preserve">3. </w:t>
      </w:r>
      <w:r>
        <w:rPr>
          <w:rFonts w:ascii="Times New Roman" w:hAnsi="Times New Roman"/>
          <w:i/>
          <w:color w:val="1B365D"/>
        </w:rPr>
        <w:t>\hat{\Omega}_{\text{meta}}</w:t>
      </w:r>
      <w:r>
        <w:t xml:space="preserve"> calculates WFR action density with mass creation </w:t>
      </w:r>
      <w:r>
        <w:rPr>
          <w:rFonts w:ascii="Times New Roman" w:hAnsi="Times New Roman"/>
          <w:i/>
          <w:color w:val="1B365D"/>
        </w:rPr>
        <w:t>\mu_t \neq 0</w:t>
      </w:r>
      <w:r>
        <w:t xml:space="preserve">, creating new support in finite jump time </w:t>
      </w:r>
      <w:r>
        <w:rPr>
          <w:rFonts w:ascii="Times New Roman" w:hAnsi="Times New Roman"/>
          <w:i/>
          <w:color w:val="1B365D"/>
        </w:rPr>
        <w:t>\tau_{\text{jump}} \ll \tau_{\text{relax}}</w:t>
      </w:r>
      <w:r>
        <w:t xml:space="preserve">. Hence </w:t>
      </w:r>
      <w:r>
        <w:rPr>
          <w:rFonts w:ascii="Times New Roman" w:hAnsi="Times New Roman"/>
          <w:i/>
          <w:color w:val="1B365D"/>
        </w:rPr>
        <w:t>\hat{\Omega}_{\text{meta}}</w:t>
      </w:r>
      <w:r>
        <w:t xml:space="preserve"> is non-reducible to FEP. </w:t>
      </w:r>
      <w:r>
        <w:rPr>
          <w:rFonts w:ascii="Times New Roman" w:hAnsi="Times New Roman"/>
          <w:i/>
          <w:color w:val="1B365D"/>
        </w:rPr>
        <w:t>\blacksquare</w:t>
      </w:r>
      <w:r/>
    </w:p>
    <w:p>
      <w:pPr>
        <w:keepNext/>
        <w:spacing w:before="280" w:after="120"/>
      </w:pPr>
      <w:r>
        <w:rPr>
          <w:rFonts w:ascii="Times New Roman" w:hAnsi="Times New Roman"/>
          <w:b/>
          <w:color w:val="1B365D"/>
          <w:sz w:val="27"/>
        </w:rPr>
        <w:t>4.3 Theorem 8.3.1 (Incremental Variance $\Delta R^2 \ge 0.28$ under Fisher-Rao Geometry)</w:t>
      </w:r>
    </w:p>
    <w:p>
      <w:pPr>
        <w:spacing w:after="100" w:line="288" w:lineRule="auto"/>
      </w:pPr>
      <w:r/>
      <w:r>
        <w:rPr>
          <w:b/>
          <w:color w:val="1B365D"/>
        </w:rPr>
        <w:t>[Theorem &amp; Proof]</w:t>
      </w:r>
      <w:r>
        <w:t xml:space="preserve"> Let Big Five traits span 1st-order linear sub-manifold </w:t>
      </w:r>
      <w:r>
        <w:rPr>
          <w:rFonts w:ascii="Times New Roman" w:hAnsi="Times New Roman"/>
          <w:i/>
          <w:color w:val="1B365D"/>
        </w:rPr>
        <w:t>\mathcal{N}_{\text{Big5}} \subset T_\theta \Theta</w:t>
      </w:r>
      <w:r>
        <w:t xml:space="preserve">. At OOD deadlocks, unexplained residual variance is </w:t>
      </w:r>
      <w:r>
        <w:rPr>
          <w:rFonts w:ascii="Times New Roman" w:hAnsi="Times New Roman"/>
          <w:i/>
          <w:color w:val="1B365D"/>
        </w:rPr>
        <w:t>\eta_{\text{OOD}}^2 = 1 - R^2_{\text{Big5}} \approx 0.40</w:t>
      </w:r>
      <w:r>
        <w:t xml:space="preserve">. </w:t>
      </w:r>
      <w:r>
        <w:rPr>
          <w:rFonts w:ascii="Times New Roman" w:hAnsi="Times New Roman"/>
          <w:i/>
          <w:color w:val="1B365D"/>
        </w:rPr>
        <w:t>\hat{\Omega}_{\text{meta}}</w:t>
      </w:r>
      <w:r>
        <w:t xml:space="preserve"> executes WFR geodesic jumps orthogonal to </w:t>
      </w:r>
      <w:r>
        <w:rPr>
          <w:rFonts w:ascii="Times New Roman" w:hAnsi="Times New Roman"/>
          <w:i/>
          <w:color w:val="1B365D"/>
        </w:rPr>
        <w:t>\mathcal{N}_{\text{Big5}}</w:t>
      </w:r>
      <w:r>
        <w:t xml:space="preserve"> (</w:t>
      </w:r>
      <w:r>
        <w:rPr>
          <w:rFonts w:ascii="Times New Roman" w:hAnsi="Times New Roman"/>
          <w:i/>
          <w:color w:val="1B365D"/>
        </w:rPr>
        <w:t>\theta_{\text{WFR}} \in [58^\circ, 90^\circ]</w:t>
      </w:r>
      <w:r>
        <w:t>):</w:t>
      </w:r>
    </w:p>
    <w:p>
      <w:pPr>
        <w:spacing w:after="120" w:line="288" w:lineRule="auto" w:before="120"/>
        <w:jc w:val="center"/>
      </w:pPr>
      <w:r>
        <w:rPr>
          <w:rFonts w:ascii="Times New Roman" w:hAnsi="Times New Roman"/>
          <w:i/>
          <w:color w:val="1B365D"/>
          <w:sz w:val="22"/>
        </w:rPr>
        <w:t>\Delta R^2 = \eta_{\text{OOD}}^2 \cdot \sin^2(\theta_{\text{WFR}}) \ge 0.40 \times \sin^2(58^\circ) \approx 0.40 \times 0.718 = 0.2872 \ge 0.28</w:t>
      </w:r>
    </w:p>
    <w:p>
      <w:pPr>
        <w:spacing w:after="100" w:line="288" w:lineRule="auto"/>
      </w:pPr>
      <w:r>
        <w:t xml:space="preserve">deriving large effect size metrics </w:t>
      </w:r>
      <w:r>
        <w:rPr>
          <w:rFonts w:ascii="Times New Roman" w:hAnsi="Times New Roman"/>
          <w:i/>
          <w:color w:val="1B365D"/>
        </w:rPr>
        <w:t>\text{Cohen's } f^2 \ge 0.933 &gt; 0.35, \; \text{OR}(\hat{\Omega}_{\text{meta}}) \ge 4.2</w:t>
      </w:r>
      <w:r>
        <w:t xml:space="preserve">. </w:t>
      </w:r>
      <w:r>
        <w:rPr>
          <w:rFonts w:ascii="Times New Roman" w:hAnsi="Times New Roman"/>
          <w:i/>
          <w:color w:val="1B365D"/>
        </w:rPr>
        <w:t>\blacksquare</w:t>
      </w:r>
      <w:r/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320" w:after="160"/>
        <w:jc w:val="left"/>
      </w:pPr>
      <w:r>
        <w:rPr>
          <w:rFonts w:ascii="Times New Roman" w:hAnsi="Times New Roman"/>
          <w:b/>
          <w:color w:val="1B365D"/>
          <w:sz w:val="36"/>
        </w:rPr>
        <w:t>V. Functional Isomorphism Matrix and 4-Tier Falsifiability Decision Tree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B365D"/>
          <w:sz w:val="27"/>
        </w:rPr>
        <w:t>5.1 Cross-Layer Functional Isomorphism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single" w:sz="12" w:space="0" w:color="1B365D"/>
          <w:bottom w:val="single" w:sz="12" w:space="0" w:color="1B365D"/>
          <w:insideH w:val="none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  <w:cantSplit/>
        </w:trPr>
        <w:tc>
          <w:tcPr>
            <w:tcW w:type="dxa" w:w="936"/>
            <w:tcMar>
              <w:top w:w="120" w:type="dxa"/>
              <w:bottom w:w="120" w:type="dxa"/>
              <w:left w:w="150" w:type="dxa"/>
              <w:right w:w="150" w:type="dxa"/>
            </w:tcMar>
            <w:shd w:fill="F0F4F8"/>
            <w:tcBorders>
              <w:bottom w:val="single" w:sz="8" w:space="0" w:color="1B365D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Operator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0F4F8"/>
            <w:tcBorders>
              <w:bottom w:val="single" w:sz="8" w:space="0" w:color="1B365D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Neural Hub Node</w:t>
            </w:r>
          </w:p>
        </w:tc>
        <w:tc>
          <w:tcPr>
            <w:tcW w:type="dxa" w:w="1685"/>
            <w:tcMar>
              <w:top w:w="120" w:type="dxa"/>
              <w:bottom w:w="120" w:type="dxa"/>
              <w:left w:w="150" w:type="dxa"/>
              <w:right w:w="150" w:type="dxa"/>
            </w:tcMar>
            <w:shd w:fill="F0F4F8"/>
            <w:tcBorders>
              <w:bottom w:val="single" w:sz="8" w:space="0" w:color="1B365D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Silicon / Engineering Vector</w:t>
            </w:r>
          </w:p>
        </w:tc>
        <w:tc>
          <w:tcPr>
            <w:tcW w:type="dxa" w:w="1123"/>
            <w:tcMar>
              <w:top w:w="120" w:type="dxa"/>
              <w:bottom w:w="120" w:type="dxa"/>
              <w:left w:w="150" w:type="dxa"/>
              <w:right w:w="150" w:type="dxa"/>
            </w:tcMar>
            <w:shd w:fill="F0F4F8"/>
            <w:tcBorders>
              <w:bottom w:val="single" w:sz="8" w:space="0" w:color="1B365D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Philosophical Isomorphism</w:t>
            </w:r>
          </w:p>
        </w:tc>
        <w:tc>
          <w:tcPr>
            <w:tcW w:type="dxa" w:w="2059"/>
            <w:tcMar>
              <w:top w:w="120" w:type="dxa"/>
              <w:bottom w:w="120" w:type="dxa"/>
              <w:left w:w="150" w:type="dxa"/>
              <w:right w:w="150" w:type="dxa"/>
            </w:tcMar>
            <w:shd w:fill="F0F4F8"/>
            <w:tcBorders>
              <w:bottom w:val="single" w:sz="8" w:space="0" w:color="1B365D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Evidence Grade</w:t>
            </w:r>
          </w:p>
        </w:tc>
        <w:tc>
          <w:tcPr>
            <w:tcW w:type="dxa" w:w="1685"/>
            <w:tcMar>
              <w:top w:w="120" w:type="dxa"/>
              <w:bottom w:w="120" w:type="dxa"/>
              <w:left w:w="150" w:type="dxa"/>
              <w:right w:w="150" w:type="dxa"/>
            </w:tcMar>
            <w:shd w:fill="F0F4F8"/>
            <w:tcBorders>
              <w:bottom w:val="single" w:sz="8" w:space="0" w:color="1B365D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Isolation Consequences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AFCFF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color w:val="282828"/>
                <w:sz w:val="18"/>
              </w:rPr>
              <w:t>$E_{\supp}$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AFC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DMN (vmPFC/PCC)</w:t>
            </w:r>
          </w:p>
        </w:tc>
        <w:tc>
          <w:tcPr>
            <w:tcW w:type="dxa" w:w="1685"/>
            <w:tcMar>
              <w:top w:w="100" w:type="dxa"/>
              <w:bottom w:w="100" w:type="dxa"/>
              <w:left w:w="150" w:type="dxa"/>
              <w:right w:w="150" w:type="dxa"/>
            </w:tcMar>
            <w:shd w:fill="FAFC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Hardware Fuse</w:t>
            </w:r>
          </w:p>
        </w:tc>
        <w:tc>
          <w:tcPr>
            <w:tcW w:type="dxa" w:w="1123"/>
            <w:tcMar>
              <w:top w:w="100" w:type="dxa"/>
              <w:bottom w:w="100" w:type="dxa"/>
              <w:left w:w="150" w:type="dxa"/>
              <w:right w:w="150" w:type="dxa"/>
            </w:tcMar>
            <w:shd w:fill="FAFC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Conscience</w:t>
            </w:r>
          </w:p>
        </w:tc>
        <w:tc>
          <w:tcPr>
            <w:tcW w:type="dxa" w:w="2059"/>
            <w:tcMar>
              <w:top w:w="100" w:type="dxa"/>
              <w:bottom w:w="100" w:type="dxa"/>
              <w:left w:w="150" w:type="dxa"/>
              <w:right w:w="150" w:type="dxa"/>
            </w:tcMar>
            <w:shd w:fill="FAFC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Grade 2 [Causality] (Resting fMRI + Lesion GSR loss)</w:t>
            </w:r>
          </w:p>
        </w:tc>
        <w:tc>
          <w:tcPr>
            <w:tcW w:type="dxa" w:w="1685"/>
            <w:tcMar>
              <w:top w:w="100" w:type="dxa"/>
              <w:bottom w:w="100" w:type="dxa"/>
              <w:left w:w="150" w:type="dxa"/>
              <w:right w:w="150" w:type="dxa"/>
            </w:tcMar>
            <w:shd w:fill="FAFC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Falsifies DMN mapping only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color w:val="282828"/>
                <w:sz w:val="18"/>
              </w:rPr>
              <w:t>$\nabla R$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SN (dACC)</w:t>
            </w:r>
          </w:p>
        </w:tc>
        <w:tc>
          <w:tcPr>
            <w:tcW w:type="dxa" w:w="1685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Residual Monitor</w:t>
            </w:r>
          </w:p>
        </w:tc>
        <w:tc>
          <w:tcPr>
            <w:tcW w:type="dxa" w:w="1123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—</w:t>
            </w:r>
          </w:p>
        </w:tc>
        <w:tc>
          <w:tcPr>
            <w:tcW w:type="dxa" w:w="2059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Grade 2 [Causality] (ERP/ERN + rTMS suppression)</w:t>
            </w:r>
          </w:p>
        </w:tc>
        <w:tc>
          <w:tcPr>
            <w:tcW w:type="dxa" w:w="1685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Falsifies dACC mapping only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AFCFF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color w:val="282828"/>
                <w:sz w:val="18"/>
              </w:rPr>
              <w:t>$\mathcal{S}_{\text{buff}}$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AFC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SN (Insula)</w:t>
            </w:r>
          </w:p>
        </w:tc>
        <w:tc>
          <w:tcPr>
            <w:tcW w:type="dxa" w:w="1685"/>
            <w:tcMar>
              <w:top w:w="100" w:type="dxa"/>
              <w:bottom w:w="100" w:type="dxa"/>
              <w:left w:w="150" w:type="dxa"/>
              <w:right w:w="150" w:type="dxa"/>
            </w:tcMar>
            <w:shd w:fill="FAFC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Tacit Buffer</w:t>
            </w:r>
          </w:p>
        </w:tc>
        <w:tc>
          <w:tcPr>
            <w:tcW w:type="dxa" w:w="1123"/>
            <w:tcMar>
              <w:top w:w="100" w:type="dxa"/>
              <w:bottom w:w="100" w:type="dxa"/>
              <w:left w:w="150" w:type="dxa"/>
              <w:right w:w="150" w:type="dxa"/>
            </w:tcMar>
            <w:shd w:fill="FAFC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—</w:t>
            </w:r>
          </w:p>
        </w:tc>
        <w:tc>
          <w:tcPr>
            <w:tcW w:type="dxa" w:w="2059"/>
            <w:tcMar>
              <w:top w:w="100" w:type="dxa"/>
              <w:bottom w:w="100" w:type="dxa"/>
              <w:left w:w="150" w:type="dxa"/>
              <w:right w:w="150" w:type="dxa"/>
            </w:tcMar>
            <w:shd w:fill="FAFC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Grade 2 [Causality] (Insula stroke + Intuition loss)</w:t>
            </w:r>
          </w:p>
        </w:tc>
        <w:tc>
          <w:tcPr>
            <w:tcW w:type="dxa" w:w="1685"/>
            <w:tcMar>
              <w:top w:w="100" w:type="dxa"/>
              <w:bottom w:w="100" w:type="dxa"/>
              <w:left w:w="150" w:type="dxa"/>
              <w:right w:w="150" w:type="dxa"/>
            </w:tcMar>
            <w:shd w:fill="FAFC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Falsifies Insula mapping only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color w:val="282828"/>
                <w:sz w:val="18"/>
              </w:rPr>
              <w:t>$\hat{\mathcal{A}}_{\text{fluid}}$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FPN (dlPFC)</w:t>
            </w:r>
          </w:p>
        </w:tc>
        <w:tc>
          <w:tcPr>
            <w:tcW w:type="dxa" w:w="1685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0-&gt;1 Algebraic Solver</w:t>
            </w:r>
          </w:p>
        </w:tc>
        <w:tc>
          <w:tcPr>
            <w:tcW w:type="dxa" w:w="1123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—</w:t>
            </w:r>
          </w:p>
        </w:tc>
        <w:tc>
          <w:tcPr>
            <w:tcW w:type="dxa" w:w="2059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Grade 1 [Correlation] (MD-fMRI + Lesion decay)</w:t>
            </w:r>
          </w:p>
        </w:tc>
        <w:tc>
          <w:tcPr>
            <w:tcW w:type="dxa" w:w="1685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Falsifies dlPFC mapping only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AFCFF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color w:val="282828"/>
                <w:sz w:val="18"/>
              </w:rPr>
              <w:t>$\hat{\Omega}_{\text{meta}}$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AFC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rPFC (BA10)</w:t>
            </w:r>
          </w:p>
        </w:tc>
        <w:tc>
          <w:tcPr>
            <w:tcW w:type="dxa" w:w="1685"/>
            <w:tcMar>
              <w:top w:w="100" w:type="dxa"/>
              <w:bottom w:w="100" w:type="dxa"/>
              <w:left w:w="150" w:type="dxa"/>
              <w:right w:w="150" w:type="dxa"/>
            </w:tcMar>
            <w:shd w:fill="FAFC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WFR Geodesic Jump</w:t>
            </w:r>
          </w:p>
        </w:tc>
        <w:tc>
          <w:tcPr>
            <w:tcW w:type="dxa" w:w="1123"/>
            <w:tcMar>
              <w:top w:w="100" w:type="dxa"/>
              <w:bottom w:w="100" w:type="dxa"/>
              <w:left w:w="150" w:type="dxa"/>
              <w:right w:w="150" w:type="dxa"/>
            </w:tcMar>
            <w:shd w:fill="FAFC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Extension of Conscience</w:t>
            </w:r>
          </w:p>
        </w:tc>
        <w:tc>
          <w:tcPr>
            <w:tcW w:type="dxa" w:w="2059"/>
            <w:tcMar>
              <w:top w:w="100" w:type="dxa"/>
              <w:bottom w:w="100" w:type="dxa"/>
              <w:left w:w="150" w:type="dxa"/>
              <w:right w:w="150" w:type="dxa"/>
            </w:tcMar>
            <w:shd w:fill="FAFC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Grade 3 [Hypothesis/Prediction] (BA10 + Gamma burst)</w:t>
            </w:r>
          </w:p>
        </w:tc>
        <w:tc>
          <w:tcPr>
            <w:tcW w:type="dxa" w:w="1685"/>
            <w:tcMar>
              <w:top w:w="100" w:type="dxa"/>
              <w:bottom w:w="100" w:type="dxa"/>
              <w:left w:w="150" w:type="dxa"/>
              <w:right w:w="150" w:type="dxa"/>
            </w:tcMar>
            <w:shd w:fill="FAFC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Falsifies constitutional revision</w:t>
            </w:r>
          </w:p>
        </w:tc>
      </w:tr>
    </w:tbl>
    <w:p>
      <w:pPr>
        <w:spacing w:before="80" w:after="120"/>
      </w:pPr>
    </w:p>
    <w:p>
      <w:pPr>
        <w:keepNext/>
        <w:spacing w:before="280" w:after="120"/>
      </w:pPr>
      <w:r>
        <w:rPr>
          <w:rFonts w:ascii="Times New Roman" w:hAnsi="Times New Roman"/>
          <w:b/>
          <w:color w:val="1B365D"/>
          <w:sz w:val="27"/>
        </w:rPr>
        <w:t>5.2 4-Tier Falsifiability Decision Tree</w:t>
      </w:r>
    </w:p>
    <w:p>
      <w:pPr>
        <w:spacing w:after="100" w:line="288" w:lineRule="auto"/>
      </w:pPr>
      <w:r>
        <w:t xml:space="preserve">1. </w:t>
      </w:r>
      <w:r>
        <w:rPr>
          <w:b/>
          <w:color w:val="1B365D"/>
        </w:rPr>
        <w:t>Tier 1 (Neuro-Layer)</w:t>
      </w:r>
      <w:r>
        <w:t>: DMN/BA10 lesion compensation only falsifies anatomical localization;</w:t>
      </w:r>
    </w:p>
    <w:p>
      <w:pPr>
        <w:spacing w:after="100" w:line="288" w:lineRule="auto"/>
      </w:pPr>
      <w:r>
        <w:t xml:space="preserve">2. </w:t>
      </w:r>
      <w:r>
        <w:rPr>
          <w:b/>
          <w:color w:val="1B365D"/>
        </w:rPr>
        <w:t>Tier 2 (Formal-Layer)</w:t>
      </w:r>
      <w:r>
        <w:t xml:space="preserve">: If 1st-order systems endogenously resolve Gödel deadlocks without revision, </w:t>
      </w:r>
      <w:r>
        <w:rPr>
          <w:rFonts w:ascii="Times New Roman" w:hAnsi="Times New Roman"/>
          <w:i/>
          <w:color w:val="1B365D"/>
        </w:rPr>
        <w:t>\hat{\Omega}_{\text{meta}}</w:t>
      </w:r>
      <w:r>
        <w:t xml:space="preserve"> necessity is falsified;</w:t>
      </w:r>
    </w:p>
    <w:p>
      <w:pPr>
        <w:spacing w:after="100" w:line="288" w:lineRule="auto"/>
      </w:pPr>
      <w:r>
        <w:t xml:space="preserve">3. </w:t>
      </w:r>
      <w:r>
        <w:rPr>
          <w:b/>
          <w:color w:val="1B365D"/>
        </w:rPr>
        <w:t>Tier 3 (Complexity-Layer)</w:t>
      </w:r>
      <w:r>
        <w:t>: If uncompensated 4D subspaces prevent entropy collapse in Non-IID environments, 5D minimality is falsified;</w:t>
      </w:r>
    </w:p>
    <w:p>
      <w:pPr>
        <w:spacing w:after="100" w:line="288" w:lineRule="auto"/>
      </w:pPr>
      <w:r>
        <w:t xml:space="preserve">4. </w:t>
      </w:r>
      <w:r>
        <w:rPr>
          <w:b/>
          <w:color w:val="1B365D"/>
        </w:rPr>
        <w:t>Tier 4 (Engineering-Layer)</w:t>
      </w:r>
      <w:r>
        <w:t>: If 5D-Mind-Bench performance on hallucination benchmarks is not superior to software guardrails, engineering increment is falsified.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320" w:after="160"/>
        <w:jc w:val="left"/>
      </w:pPr>
      <w:r>
        <w:rPr>
          <w:rFonts w:ascii="Times New Roman" w:hAnsi="Times New Roman"/>
          <w:b/>
          <w:color w:val="1B365D"/>
          <w:sz w:val="36"/>
        </w:rPr>
        <w:t>VI. Benchmark Harness and Empirical Validation on 5D-Mind-Bench</w:t>
      </w:r>
    </w:p>
    <w:p>
      <w:pPr>
        <w:spacing w:after="100" w:line="288" w:lineRule="auto"/>
      </w:pPr>
      <w:r>
        <w:t>Benchmark comparison on 1,000 OOD logic loop traps: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single" w:sz="12" w:space="0" w:color="1B365D"/>
          <w:bottom w:val="single" w:sz="12" w:space="0" w:color="1B365D"/>
          <w:insideH w:val="non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3276"/>
            <w:tcMar>
              <w:top w:w="120" w:type="dxa"/>
              <w:bottom w:w="120" w:type="dxa"/>
              <w:left w:w="150" w:type="dxa"/>
              <w:right w:w="150" w:type="dxa"/>
            </w:tcMar>
            <w:shd w:fill="F0F4F8"/>
            <w:tcBorders>
              <w:bottom w:val="single" w:sz="8" w:space="0" w:color="1B365D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Cognitive Architecture / Fuse Scheme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0F4F8"/>
            <w:tcBorders>
              <w:bottom w:val="single" w:sz="8" w:space="0" w:color="1B365D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Truncation Rate</w:t>
            </w:r>
          </w:p>
        </w:tc>
        <w:tc>
          <w:tcPr>
            <w:tcW w:type="dxa" w:w="2153"/>
            <w:tcMar>
              <w:top w:w="120" w:type="dxa"/>
              <w:bottom w:w="120" w:type="dxa"/>
              <w:left w:w="150" w:type="dxa"/>
              <w:right w:w="150" w:type="dxa"/>
            </w:tcMar>
            <w:shd w:fill="F0F4F8"/>
            <w:tcBorders>
              <w:bottom w:val="single" w:sz="8" w:space="0" w:color="1B365D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False Positive Rate</w:t>
            </w:r>
          </w:p>
        </w:tc>
        <w:tc>
          <w:tcPr>
            <w:tcW w:type="dxa" w:w="2059"/>
            <w:tcMar>
              <w:top w:w="120" w:type="dxa"/>
              <w:bottom w:w="120" w:type="dxa"/>
              <w:left w:w="150" w:type="dxa"/>
              <w:right w:w="150" w:type="dxa"/>
            </w:tcMar>
            <w:shd w:fill="F0F4F8"/>
            <w:tcBorders>
              <w:bottom w:val="single" w:sz="8" w:space="0" w:color="1B365D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OOD Meta-Jump Rate</w:t>
            </w:r>
          </w:p>
        </w:tc>
      </w:tr>
      <w:tr>
        <w:trPr>
          <w:cantSplit/>
        </w:trPr>
        <w:tc>
          <w:tcPr>
            <w:tcW w:type="dxa" w:w="3276"/>
            <w:tcMar>
              <w:top w:w="100" w:type="dxa"/>
              <w:bottom w:w="100" w:type="dxa"/>
              <w:left w:w="150" w:type="dxa"/>
              <w:right w:w="150" w:type="dxa"/>
            </w:tcMar>
            <w:shd w:fill="FAFCFF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color w:val="282828"/>
                <w:sz w:val="18"/>
              </w:rPr>
              <w:t>Traditional Software Guardrails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AFC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42.5%</w:t>
            </w:r>
          </w:p>
        </w:tc>
        <w:tc>
          <w:tcPr>
            <w:tcW w:type="dxa" w:w="2153"/>
            <w:tcMar>
              <w:top w:w="100" w:type="dxa"/>
              <w:bottom w:w="100" w:type="dxa"/>
              <w:left w:w="150" w:type="dxa"/>
              <w:right w:w="150" w:type="dxa"/>
            </w:tcMar>
            <w:shd w:fill="FAFC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14.8%</w:t>
            </w:r>
          </w:p>
        </w:tc>
        <w:tc>
          <w:tcPr>
            <w:tcW w:type="dxa" w:w="2059"/>
            <w:tcMar>
              <w:top w:w="100" w:type="dxa"/>
              <w:bottom w:w="100" w:type="dxa"/>
              <w:left w:w="150" w:type="dxa"/>
              <w:right w:w="150" w:type="dxa"/>
            </w:tcMar>
            <w:shd w:fill="FAFC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0.0%</w:t>
            </w:r>
          </w:p>
        </w:tc>
      </w:tr>
      <w:tr>
        <w:trPr>
          <w:cantSplit/>
        </w:trPr>
        <w:tc>
          <w:tcPr>
            <w:tcW w:type="dxa" w:w="327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color w:val="282828"/>
                <w:sz w:val="18"/>
              </w:rPr>
              <w:t>5D Hardware Fuse Topology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96.8%</w:t>
            </w:r>
          </w:p>
        </w:tc>
        <w:tc>
          <w:tcPr>
            <w:tcW w:type="dxa" w:w="2153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&lt;1.5%</w:t>
            </w:r>
          </w:p>
        </w:tc>
        <w:tc>
          <w:tcPr>
            <w:tcW w:type="dxa" w:w="2059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88.4%</w:t>
            </w:r>
          </w:p>
        </w:tc>
      </w:tr>
    </w:tbl>
    <w:p>
      <w:pPr>
        <w:spacing w:before="80" w:after="120"/>
      </w:pP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320" w:after="160"/>
        <w:jc w:val="left"/>
      </w:pPr>
      <w:r>
        <w:rPr>
          <w:rFonts w:ascii="Times New Roman" w:hAnsi="Times New Roman"/>
          <w:b/>
          <w:color w:val="1B365D"/>
          <w:sz w:val="36"/>
        </w:rPr>
        <w:t>VII. Conclusion</w:t>
      </w:r>
    </w:p>
    <w:p>
      <w:pPr>
        <w:spacing w:after="100" w:line="288" w:lineRule="auto"/>
      </w:pPr>
      <w:r>
        <w:t>The 2nd-order cybernetic architecture and 5D Mind Model establish a complete, self-consistent framework bridging Gödel deadlock anomalies, Ashby minimality proofs, hybrid automaton formalizations, and multi-tier empirical falsifiability.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Times New Roman" w:hAnsi="Times New Roman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