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jc w:val="center"/>
      </w:pPr>
      <w:r>
        <w:rPr>
          <w:rFonts w:ascii="Times New Roman" w:hAnsi="Times New Roman" w:eastAsia="Microsoft YaHei" w:cs="Times New Roman"/>
          <w:b/>
          <w:color w:val="1B365D"/>
          <w:sz w:val="36"/>
        </w:rPr>
        <w:t>Supporting Data Availability &amp; Author Declarations Statement</w:t>
      </w:r>
    </w:p>
    <w:p>
      <w:pPr>
        <w:spacing w:after="100" w:line="300" w:lineRule="auto"/>
      </w:pP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Target Journal</w:t>
      </w:r>
      <w:r>
        <w:rPr>
          <w:rFonts w:ascii="Times New Roman" w:hAnsi="Times New Roman" w:eastAsia="Microsoft YaHei" w:cs="Times New Roman"/>
          <w:color w:val="282828"/>
          <w:sz w:val="21"/>
        </w:rPr>
        <w:t>: *IEEE Transactions on Systems, Man, and Cybernetics: Systems* (IEEE TSMC: Systems)</w:t>
      </w:r>
    </w:p>
    <w:p>
      <w:pPr>
        <w:spacing w:after="100" w:line="300" w:lineRule="auto"/>
      </w:pP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Manuscript Title</w:t>
      </w:r>
      <w:r>
        <w:rPr>
          <w:rFonts w:ascii="Times New Roman" w:hAnsi="Times New Roman" w:eastAsia="Microsoft YaHei" w:cs="Times New Roman"/>
          <w:color w:val="282828"/>
          <w:sz w:val="21"/>
        </w:rPr>
        <w:t>: Value Chain Physics: Industrial Validation and Formal Proof of Open Complex Giant Systems Based on Non-IID Theory</w:t>
      </w:r>
    </w:p>
    <w:p>
      <w:pPr>
        <w:spacing w:after="100" w:line="300" w:lineRule="auto"/>
      </w:pP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Author</w:t>
      </w:r>
      <w:r>
        <w:rPr>
          <w:rFonts w:ascii="Times New Roman" w:hAnsi="Times New Roman" w:eastAsia="Microsoft YaHei" w:cs="Times New Roman"/>
          <w:color w:val="282828"/>
          <w:sz w:val="21"/>
        </w:rPr>
        <w:t>: Fanchun Meng (Grit Meng)</w:t>
      </w:r>
    </w:p>
    <w:p>
      <w:pPr>
        <w:spacing w:after="100" w:line="300" w:lineRule="auto"/>
      </w:pP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Affiliation</w:t>
      </w:r>
      <w:r>
        <w:rPr>
          <w:rFonts w:ascii="Times New Roman" w:hAnsi="Times New Roman" w:eastAsia="Microsoft YaHei" w:cs="Times New Roman"/>
          <w:color w:val="282828"/>
          <w:sz w:val="21"/>
        </w:rPr>
        <w:t>: Former Lead Architect &amp; Head of Global Supply Chain Integrated Planning Solution (IPS) System, Lenovo Group; Creator of Intelligent Planning &amp; Control (IPC) Engine</w:t>
      </w:r>
    </w:p>
    <w:p>
      <w:pPr>
        <w:spacing w:after="100" w:line="300" w:lineRule="auto"/>
      </w:pP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ORCID</w:t>
      </w:r>
      <w:r>
        <w:rPr>
          <w:rFonts w:ascii="Times New Roman" w:hAnsi="Times New Roman" w:eastAsia="Microsoft YaHei" w:cs="Times New Roman"/>
          <w:color w:val="282828"/>
          <w:sz w:val="21"/>
        </w:rPr>
        <w:t>: 0009-0003-8603-119X</w:t>
      </w:r>
    </w:p>
    <w:p>
      <w:pPr>
        <w:spacing w:before="160" w:after="160"/>
        <w:pBdr>
          <w:bottom w:val="single" w:sz="6" w:space="1" w:color="D0D7DE"/>
        </w:pBdr>
      </w:pPr>
    </w:p>
    <w:p>
      <w:pPr>
        <w:keepNext/>
        <w:spacing w:before="200" w:after="80"/>
      </w:pPr>
      <w:r>
        <w:rPr>
          <w:rFonts w:ascii="Times New Roman" w:hAnsi="Times New Roman" w:eastAsia="Microsoft YaHei" w:cs="Times New Roman"/>
          <w:b/>
          <w:color w:val="4A607A"/>
          <w:sz w:val="23"/>
        </w:rPr>
        <w:t>1. Data Availability Statement</w:t>
      </w:r>
    </w:p>
    <w:p>
      <w:pPr>
        <w:spacing w:after="100" w:line="300" w:lineRule="auto"/>
      </w:pPr>
      <w:r>
        <w:rPr>
          <w:rFonts w:ascii="Times New Roman" w:hAnsi="Times New Roman" w:eastAsia="Microsoft YaHei" w:cs="Times New Roman"/>
          <w:color w:val="282828"/>
          <w:sz w:val="21"/>
        </w:rPr>
        <w:t>The datasets, topological network structures, and computational benchmark scenarios analyzed in this study originate from 18 years of industrial physical practice in global supply chain systems (Lenovo Group IPS System) and open-source complexity models.</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Public Repository</w:t>
      </w:r>
      <w:r>
        <w:rPr>
          <w:rFonts w:ascii="Times New Roman" w:hAnsi="Times New Roman" w:eastAsia="Microsoft YaHei" w:cs="Times New Roman"/>
          <w:color w:val="282828"/>
          <w:sz w:val="21"/>
        </w:rPr>
        <w:t>: All core topological data structures, algorithm pseudo-code, mathematical proof verifications, and benchmark models supporting the conclusions of this paper are deposited and publicly accessible in the open-source GitHub repository:</w:t>
      </w:r>
    </w:p>
    <w:p>
      <w:pPr>
        <w:spacing w:after="100" w:line="300" w:lineRule="auto"/>
      </w:pPr>
      <w:r>
        <w:rPr>
          <w:rFonts w:ascii="Times New Roman" w:hAnsi="Times New Roman" w:eastAsia="Microsoft YaHei" w:cs="Times New Roman"/>
          <w:color w:val="282828"/>
          <w:sz w:val="21"/>
        </w:rPr>
        <w:t xml:space="preserve">  [https://github.com/GritMeng/Value-Chain-Physics](https://github.com/GritMeng/Value-Chain-Physics)</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Preprints and Extended Documentation</w:t>
      </w:r>
      <w:r>
        <w:rPr>
          <w:rFonts w:ascii="Times New Roman" w:hAnsi="Times New Roman" w:eastAsia="Microsoft YaHei" w:cs="Times New Roman"/>
          <w:color w:val="282828"/>
          <w:sz w:val="21"/>
        </w:rPr>
        <w:t>: SSRN Working Papers (Abstract IDs: 7451920, 7442100, 7251098).</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Proprietary Data</w:t>
      </w:r>
      <w:r>
        <w:rPr>
          <w:rFonts w:ascii="Times New Roman" w:hAnsi="Times New Roman" w:eastAsia="Microsoft YaHei" w:cs="Times New Roman"/>
          <w:color w:val="282828"/>
          <w:sz w:val="21"/>
        </w:rPr>
        <w:t>: Any specific confidential commercial transactions have been fully anonymized into normalized topological graph matrices in the open repository to ensure complete reproducibility without violating commercial non-disclosure obligations.</w:t>
      </w:r>
    </w:p>
    <w:p>
      <w:pPr>
        <w:spacing w:before="160" w:after="160"/>
        <w:pBdr>
          <w:bottom w:val="single" w:sz="6" w:space="1" w:color="D0D7DE"/>
        </w:pBdr>
      </w:pPr>
    </w:p>
    <w:p>
      <w:pPr>
        <w:keepNext/>
        <w:spacing w:before="200" w:after="80"/>
      </w:pPr>
      <w:r>
        <w:rPr>
          <w:rFonts w:ascii="Times New Roman" w:hAnsi="Times New Roman" w:eastAsia="Microsoft YaHei" w:cs="Times New Roman"/>
          <w:b/>
          <w:color w:val="4A607A"/>
          <w:sz w:val="23"/>
        </w:rPr>
        <w:t>2. Code &amp; Software Availability</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t>The Intelligent Planning and Control (IPC) engine algorithms and high-dimensional phase space topological solvers are open-sourced at [https://github.com/GritMeng/Value-Chain-Physics](https://github.com/GritMeng/Value-Chain-Physics).</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t>The algorithm requires standard Python 3.9+ environment with NumPy / SciPy packages. No proprietary third-party software licenses are required to execute the verification scripts.</w:t>
      </w:r>
    </w:p>
    <w:p>
      <w:pPr>
        <w:spacing w:before="160" w:after="160"/>
        <w:pBdr>
          <w:bottom w:val="single" w:sz="6" w:space="1" w:color="D0D7DE"/>
        </w:pBdr>
      </w:pPr>
    </w:p>
    <w:p>
      <w:pPr>
        <w:keepNext/>
        <w:spacing w:before="200" w:after="80"/>
      </w:pPr>
      <w:r>
        <w:rPr>
          <w:rFonts w:ascii="Times New Roman" w:hAnsi="Times New Roman" w:eastAsia="Microsoft YaHei" w:cs="Times New Roman"/>
          <w:b/>
          <w:color w:val="4A607A"/>
          <w:sz w:val="23"/>
        </w:rPr>
        <w:t>3. Funding Statement</w:t>
      </w:r>
    </w:p>
    <w:p>
      <w:pPr>
        <w:spacing w:after="100" w:line="300" w:lineRule="auto"/>
      </w:pPr>
      <w:r>
        <w:rPr>
          <w:rFonts w:ascii="Times New Roman" w:hAnsi="Times New Roman" w:eastAsia="Microsoft YaHei" w:cs="Times New Roman"/>
          <w:color w:val="282828"/>
          <w:sz w:val="21"/>
        </w:rPr>
        <w:t>This research received no grant, financial support, or sponsorship from funding agencies in the public, commercial, or non-profit sectors. All theoretical research, mathematical proofs, and software development were conducted independently by the author using private computational resources.</w:t>
      </w:r>
    </w:p>
    <w:p>
      <w:pPr>
        <w:spacing w:before="160" w:after="160"/>
        <w:pBdr>
          <w:bottom w:val="single" w:sz="6" w:space="1" w:color="D0D7DE"/>
        </w:pBdr>
      </w:pPr>
    </w:p>
    <w:p>
      <w:pPr>
        <w:keepNext/>
        <w:spacing w:before="200" w:after="80"/>
      </w:pPr>
      <w:r>
        <w:rPr>
          <w:rFonts w:ascii="Times New Roman" w:hAnsi="Times New Roman" w:eastAsia="Microsoft YaHei" w:cs="Times New Roman"/>
          <w:b/>
          <w:color w:val="4A607A"/>
          <w:sz w:val="23"/>
        </w:rPr>
        <w:t>4. Conflicts of Interest / Competing Interests</w:t>
      </w:r>
    </w:p>
    <w:p>
      <w:pPr>
        <w:spacing w:after="100" w:line="300" w:lineRule="auto"/>
      </w:pPr>
      <w:r>
        <w:rPr>
          <w:rFonts w:ascii="Times New Roman" w:hAnsi="Times New Roman" w:eastAsia="Microsoft YaHei" w:cs="Times New Roman"/>
          <w:color w:val="282828"/>
          <w:sz w:val="21"/>
        </w:rPr>
        <w:t>The author declares no financial, personal, or professional competing interests, affiliations, or financial holdings that could influence or appear to influence the objectivity of the research presented in this manuscript.</w:t>
      </w:r>
    </w:p>
    <w:p>
      <w:pPr>
        <w:spacing w:before="160" w:after="160"/>
        <w:pBdr>
          <w:bottom w:val="single" w:sz="6" w:space="1" w:color="D0D7DE"/>
        </w:pBdr>
      </w:pPr>
    </w:p>
    <w:p>
      <w:pPr>
        <w:keepNext/>
        <w:spacing w:before="200" w:after="80"/>
      </w:pPr>
      <w:r>
        <w:rPr>
          <w:rFonts w:ascii="Times New Roman" w:hAnsi="Times New Roman" w:eastAsia="Microsoft YaHei" w:cs="Times New Roman"/>
          <w:b/>
          <w:color w:val="4A607A"/>
          <w:sz w:val="23"/>
        </w:rPr>
        <w:t>5. Ethical Compliance and Human/Animal Rights</w:t>
      </w:r>
    </w:p>
    <w:p>
      <w:pPr>
        <w:spacing w:after="100" w:line="300" w:lineRule="auto"/>
      </w:pPr>
      <w:r>
        <w:rPr>
          <w:rFonts w:ascii="Times New Roman" w:hAnsi="Times New Roman" w:eastAsia="Microsoft YaHei" w:cs="Times New Roman"/>
          <w:color w:val="282828"/>
          <w:sz w:val="21"/>
        </w:rPr>
        <w:t>This research does not involve human participants, clinical trials, personal identifiable data, or animal subjects. Ethical approval and informed consent were not required for this purely theoretical and algorithmic study.</w:t>
      </w:r>
    </w:p>
    <w:p>
      <w:pPr>
        <w:spacing w:before="160" w:after="160"/>
        <w:pBdr>
          <w:bottom w:val="single" w:sz="6" w:space="1" w:color="D0D7DE"/>
        </w:pBdr>
      </w:pPr>
    </w:p>
    <w:p>
      <w:pPr>
        <w:keepNext/>
        <w:spacing w:before="200" w:after="80"/>
      </w:pPr>
      <w:r>
        <w:rPr>
          <w:rFonts w:ascii="Times New Roman" w:hAnsi="Times New Roman" w:eastAsia="Microsoft YaHei" w:cs="Times New Roman"/>
          <w:b/>
          <w:color w:val="4A607A"/>
          <w:sz w:val="23"/>
        </w:rPr>
        <w:t>6. Consent for Publication</w:t>
      </w:r>
    </w:p>
    <w:p>
      <w:pPr>
        <w:spacing w:after="100" w:line="300" w:lineRule="auto"/>
      </w:pPr>
      <w:r>
        <w:rPr>
          <w:rFonts w:ascii="Times New Roman" w:hAnsi="Times New Roman" w:eastAsia="Microsoft YaHei" w:cs="Times New Roman"/>
          <w:color w:val="282828"/>
          <w:sz w:val="21"/>
        </w:rPr>
        <w:t>The author consents to the publication of this manuscript, title page metadata, and supporting statements in *IEEE Transactions on Systems, Man, and Cybernetics: Systems*.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Times New Roman" w:hAnsi="Times New Roman" w:eastAsia="Microsoft YaHei" w:cs="Times New Roman"/>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