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rFonts w:ascii="Times New Roman" w:hAnsi="Times New Roman" w:eastAsia="Microsoft YaHei" w:cs="Times New Roman"/>
          <w:b/>
          <w:color w:val="1B365D"/>
          <w:sz w:val="36"/>
        </w:rPr>
        <w:t>Conscience-Driven Holographic Metacognition: A Second-Order Cybernetic Architecture and 5D Mind Model for Open Complex Giant Systems</w:t>
      </w:r>
    </w:p>
    <w:p>
      <w:pPr>
        <w:keepNext/>
        <w:spacing w:before="280" w:after="120"/>
      </w:pPr>
      <w:r>
        <w:rPr>
          <w:rFonts w:ascii="Times New Roman" w:hAnsi="Times New Roman" w:eastAsia="Microsoft YaHei" w:cs="Times New Roman"/>
          <w:b/>
          <w:color w:val="1B365D"/>
          <w:sz w:val="27"/>
        </w:rPr>
        <w:t>Abstract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>To address the empirical anomalies of free energy divergence (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\nabla_{\vartheta} \mathcal{F} \to \infty</w:t>
      </w:r>
      <w:r>
        <w:rPr>
          <w:rFonts w:ascii="Times New Roman" w:hAnsi="Times New Roman" w:eastAsia="Microsoft YaHei" w:cs="Times New Roman"/>
          <w:color w:val="282828"/>
          <w:sz w:val="21"/>
        </w:rPr>
        <w:t>), Gödelian self-referential paralysis, and Goodhart heavy-tailed collapse (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\alpha &lt; 2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) encountered by Open Complex Giant Systems (OCGS) and Large Language Models (LLMs) at Out-of-Distribution (OOD) zero-shot deadlocks, this paper proposes a self-consistent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Second-Order Cybernetic Architecture and 5D Mind Model</w:t>
      </w:r>
      <w:r>
        <w:rPr>
          <w:rFonts w:ascii="Times New Roman" w:hAnsi="Times New Roman" w:eastAsia="Microsoft YaHei" w:cs="Times New Roman"/>
          <w:color w:val="282828"/>
          <w:sz w:val="21"/>
        </w:rPr>
        <w:t>.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>We formally prove that the five cognitive control operators—Homeostatic Compact-Support Damping (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E_{\text{supp}}</w:t>
      </w:r>
      <w:r>
        <w:rPr>
          <w:rFonts w:ascii="Times New Roman" w:hAnsi="Times New Roman" w:eastAsia="Microsoft YaHei" w:cs="Times New Roman"/>
          <w:color w:val="282828"/>
          <w:sz w:val="21"/>
        </w:rPr>
        <w:t>), Residual Sensitivity (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\nabla R</w:t>
      </w:r>
      <w:r>
        <w:rPr>
          <w:rFonts w:ascii="Times New Roman" w:hAnsi="Times New Roman" w:eastAsia="Microsoft YaHei" w:cs="Times New Roman"/>
          <w:color w:val="282828"/>
          <w:sz w:val="21"/>
        </w:rPr>
        <w:t>), Tacit Sensitivity Buffer (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\mathcal{S}_{\text{buff}}</w:t>
      </w:r>
      <w:r>
        <w:rPr>
          <w:rFonts w:ascii="Times New Roman" w:hAnsi="Times New Roman" w:eastAsia="Microsoft YaHei" w:cs="Times New Roman"/>
          <w:color w:val="282828"/>
          <w:sz w:val="21"/>
        </w:rPr>
        <w:t>), Fluid Algebra Solver (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\hat{\mathcal{A}}_{\text{fluid}}</w:t>
      </w:r>
      <w:r>
        <w:rPr>
          <w:rFonts w:ascii="Times New Roman" w:hAnsi="Times New Roman" w:eastAsia="Microsoft YaHei" w:cs="Times New Roman"/>
          <w:color w:val="282828"/>
          <w:sz w:val="21"/>
        </w:rPr>
        <w:t>), and Second-Order Metacognitive Revision (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\hat{\Omega}_{\text{meta}}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)—form a minimal complete orthogonal basis for controlling entropy expansion in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\mathcal{O}(N!)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phase spaces. We formalize the system as a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Hybrid Second-Order Cybernetic Automaton 7-Tuple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\mathbf{H} = (Q, X, U, f, \text{Guard}, \text{Reset}, Y)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, featuring dimensionally consistent continuous differential equations (with damping gain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\gamma_1 &gt; 0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and Jacobian pull-back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\left(\frac{\partial x}{\partial \theta}\right)^T \nabla_x V_{\text{supp}}</w:t>
      </w:r>
      <w:r>
        <w:rPr>
          <w:rFonts w:ascii="Times New Roman" w:hAnsi="Times New Roman" w:eastAsia="Microsoft YaHei" w:cs="Times New Roman"/>
          <w:color w:val="282828"/>
          <w:sz w:val="21"/>
        </w:rPr>
        <w:t>) and non-continuous Wasserstein-Fisher-Rao (WFR) geodesic manifold jumps.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Three core mathematical theorems are established: (1) Endogenous derivation of activation threshold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Z \ge +1.5\sigma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and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\text{SNR}_{\min} \ge 3.52\text{dB}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based on Shannon-Ashby critical entropy explosion error bound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P_{\text{error}} \le \frac{1}{2e} \approx 6.7\%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; (2) Theorem 0.2.1 formally proving the non-reducibility of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\hat{\Omega}_{\text{meta}}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to Active Inference Bayesian Model Reduction (BMR) and Non-parametric Hierarchical Bayes (HBM) due to infinite time complexity (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\tau_{\text{HBM}} \to \infty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) when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\operatorname{supp}(P_{\text{true}}) \cap \operatorname{supp}(P_{\text{prior}}) = \emptyset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; (3) Theorem 8.3.1 deriving the lower bound of incremental explained variance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\Delta R^2 \ge 0.28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(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\text{OR} \ge 4.2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, Cohen's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f^2 \ge 0.35</w:t>
      </w:r>
      <w:r>
        <w:rPr>
          <w:rFonts w:ascii="Times New Roman" w:hAnsi="Times New Roman" w:eastAsia="Microsoft YaHei" w:cs="Times New Roman"/>
          <w:color w:val="282828"/>
          <w:sz w:val="21"/>
        </w:rPr>
        <w:t>) over Big Five trait models based on Fisher-Rao orthogonal projection geometry.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A cross-layer functional isomorphism matrix with evidence grades and a 4-tier falsifiability decision tree are established, and bus-level hardware fuse topology is validated on 5D-Mind-Bench (false positive rate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&lt;1.5\%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, OOD jump rate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88.4\%</w:t>
      </w:r>
      <w:r>
        <w:rPr>
          <w:rFonts w:ascii="Times New Roman" w:hAnsi="Times New Roman" w:eastAsia="Microsoft YaHei" w:cs="Times New Roman"/>
          <w:color w:val="282828"/>
          <w:sz w:val="21"/>
        </w:rPr>
        <w:t>).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Keywords</w:t>
      </w:r>
      <w:r>
        <w:rPr>
          <w:rFonts w:ascii="Times New Roman" w:hAnsi="Times New Roman" w:eastAsia="Microsoft YaHei" w:cs="Times New Roman"/>
          <w:color w:val="282828"/>
          <w:sz w:val="21"/>
        </w:rPr>
        <w:t>: Second-Order Cybernetics; 5D Mind Model; Hybrid Automaton 7-Tuple; Wasserstein-Fisher-Rao Geodesics; Gödel Deadlock; 5D-Mind-Bench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360" w:after="160"/>
        <w:jc w:val="left"/>
      </w:pPr>
      <w:r>
        <w:rPr>
          <w:rFonts w:ascii="Times New Roman" w:hAnsi="Times New Roman" w:eastAsia="Microsoft YaHei" w:cs="Times New Roman"/>
          <w:b/>
          <w:color w:val="1B365D"/>
          <w:sz w:val="36"/>
        </w:rPr>
        <w:t>I. Introduction and Phenomenological Cybernetic Foundations</w:t>
      </w:r>
    </w:p>
    <w:p>
      <w:pPr>
        <w:keepNext/>
        <w:spacing w:before="280" w:after="120"/>
      </w:pPr>
      <w:r>
        <w:rPr>
          <w:rFonts w:ascii="Times New Roman" w:hAnsi="Times New Roman" w:eastAsia="Microsoft YaHei" w:cs="Times New Roman"/>
          <w:b/>
          <w:color w:val="1B365D"/>
          <w:sz w:val="27"/>
        </w:rPr>
        <w:t>1.1 Empirical Anomalies in Classical Cognitive Paradigms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>At OOD zero-shot deadlocks, classical cognitive architectures encounter insurmountable anomalies: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1.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Global Workspace Theory (GWT)</w:t>
      </w:r>
      <w:r>
        <w:rPr>
          <w:rFonts w:ascii="Times New Roman" w:hAnsi="Times New Roman" w:eastAsia="Microsoft YaHei" w:cs="Times New Roman"/>
          <w:color w:val="282828"/>
          <w:sz w:val="21"/>
        </w:rPr>
        <w:t>: Linear broadcasting mechanisms fail to explain how un-structured high-entropy data is abstracted and dimensionally reduced before ignition.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2.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Free Energy Principle (FEP / Active Inference)</w:t>
      </w:r>
      <w:r>
        <w:rPr>
          <w:rFonts w:ascii="Times New Roman" w:hAnsi="Times New Roman" w:eastAsia="Microsoft YaHei" w:cs="Times New Roman"/>
          <w:color w:val="282828"/>
          <w:sz w:val="21"/>
        </w:rPr>
        <w:t>: Variational inference is locked inside a fixed generative model manifold, suffering free energy divergence (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\nabla_{\vartheta} \mathcal{F} \to \infty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) when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y_{\text{true}} \notin \operatorname{supp}(P_{\text{prior}})</w:t>
      </w:r>
      <w:r>
        <w:rPr>
          <w:rFonts w:ascii="Times New Roman" w:hAnsi="Times New Roman" w:eastAsia="Microsoft YaHei" w:cs="Times New Roman"/>
          <w:color w:val="282828"/>
          <w:sz w:val="21"/>
        </w:rPr>
        <w:t>.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3.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Dual-Process Theory</w:t>
      </w:r>
      <w:r>
        <w:rPr>
          <w:rFonts w:ascii="Times New Roman" w:hAnsi="Times New Roman" w:eastAsia="Microsoft YaHei" w:cs="Times New Roman"/>
          <w:color w:val="282828"/>
          <w:sz w:val="21"/>
        </w:rPr>
        <w:t>: Coarse System 1 vs System 2 classification fails to separate 1st-order algebraic computation (dlPFC) from 2nd-order constitutional revision (BA10).</w:t>
      </w:r>
    </w:p>
    <w:p>
      <w:pPr>
        <w:keepNext/>
        <w:spacing w:before="280" w:after="120"/>
      </w:pPr>
      <w:r>
        <w:rPr>
          <w:rFonts w:ascii="Times New Roman" w:hAnsi="Times New Roman" w:eastAsia="Microsoft YaHei" w:cs="Times New Roman"/>
          <w:b/>
          <w:color w:val="1B365D"/>
          <w:sz w:val="27"/>
        </w:rPr>
        <w:t>1.2 Phenomenological Origin and Dual Attribution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>Cognitive agency originates from capturing micro residuals (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\nabla R = Y_{\text{real}} - Y_{\text{plan}}</w:t>
      </w:r>
      <w:r>
        <w:rPr>
          <w:rFonts w:ascii="Times New Roman" w:hAnsi="Times New Roman" w:eastAsia="Microsoft YaHei" w:cs="Times New Roman"/>
          <w:color w:val="282828"/>
          <w:sz w:val="21"/>
        </w:rPr>
        <w:t>). When a residual is detected, a dual attribution judgment is triggered:</w:t>
      </w:r>
    </w:p>
    <w:p>
      <w:pPr>
        <w:spacing w:after="80"/>
        <w:ind w:left="360"/>
      </w:pPr>
      <w:r>
        <w:rPr>
          <w:rFonts w:ascii="Times New Roman" w:hAnsi="Times New Roman" w:eastAsia="Microsoft YaHei" w:cs="Times New Roman"/>
          <w:b/>
          <w:color w:val="1B365D"/>
          <w:sz w:val="21"/>
        </w:rPr>
        <w:t xml:space="preserve">•  </w:t>
      </w: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If the internal model is wrong</w:t>
      </w:r>
      <w:r>
        <w:rPr>
          <w:rFonts w:ascii="Times New Roman" w:hAnsi="Times New Roman" w:eastAsia="Microsoft YaHei" w:cs="Times New Roman"/>
          <w:color w:val="282828"/>
          <w:sz w:val="21"/>
        </w:rPr>
        <w:t>: Invoke 1st-order fluid algebra ($\hat{\mathcal{A}}_{\text{fluid}}$) for local parameter fitting, or trigger 2nd-order metacognition ($\hat{\Omega}_{\text{meta}}$) to rewrite axioms under deadlock;</w:t>
      </w:r>
    </w:p>
    <w:p>
      <w:pPr>
        <w:spacing w:after="80"/>
        <w:ind w:left="360"/>
      </w:pPr>
      <w:r>
        <w:rPr>
          <w:rFonts w:ascii="Times New Roman" w:hAnsi="Times New Roman" w:eastAsia="Microsoft YaHei" w:cs="Times New Roman"/>
          <w:b/>
          <w:color w:val="1B365D"/>
          <w:sz w:val="21"/>
        </w:rPr>
        <w:t xml:space="preserve">•  </w:t>
      </w: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If external reality is wrong</w:t>
      </w:r>
      <w:r>
        <w:rPr>
          <w:rFonts w:ascii="Times New Roman" w:hAnsi="Times New Roman" w:eastAsia="Microsoft YaHei" w:cs="Times New Roman"/>
          <w:color w:val="282828"/>
          <w:sz w:val="21"/>
        </w:rPr>
        <w:t>: Counter-act upon physical reality (Active Action) driven by homeostatic barrier mechanisms.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>"No lived experience, no cognition". Embodied conscience (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E_{\text{supp}}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) acts as an existential prior benchmark, requiring external scenarios to share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functional isomorphism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with inner benchmarks for accurate translation.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360" w:after="160"/>
        <w:jc w:val="left"/>
      </w:pPr>
      <w:r>
        <w:rPr>
          <w:rFonts w:ascii="Times New Roman" w:hAnsi="Times New Roman" w:eastAsia="Microsoft YaHei" w:cs="Times New Roman"/>
          <w:b/>
          <w:color w:val="1B365D"/>
          <w:sz w:val="36"/>
        </w:rPr>
        <w:t>II. Operator Minimality and Ashby 4D Counterexample Proof</w:t>
      </w:r>
    </w:p>
    <w:p>
      <w:pPr>
        <w:keepNext/>
        <w:spacing w:before="280" w:after="120"/>
      </w:pPr>
      <w:r>
        <w:rPr>
          <w:rFonts w:ascii="Times New Roman" w:hAnsi="Times New Roman" w:eastAsia="Microsoft YaHei" w:cs="Times New Roman"/>
          <w:b/>
          <w:color w:val="1B365D"/>
          <w:sz w:val="27"/>
        </w:rPr>
        <w:t>2.1 Complete Control Vector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>The full control vector is defined as:</w:t>
      </w:r>
    </w:p>
    <w:p>
      <w:pPr>
        <w:spacing w:after="120" w:line="300" w:lineRule="auto" w:before="120"/>
        <w:jc w:val="center"/>
      </w:pPr>
      <w:r>
        <w:rPr>
          <w:rFonts w:ascii="Times New Roman" w:hAnsi="Times New Roman" w:eastAsia="Microsoft YaHei" w:cs="Times New Roman"/>
          <w:i/>
          <w:color w:val="1B365D"/>
          <w:sz w:val="22"/>
        </w:rPr>
        <w:t>\vec{\mathcal{B}}^{(5)} = \left( \nabla R, \; \mathcal{S}_{\text{buff}}, \; \hat{\mathcal{A}}_{\text{fluid}}, \; \hat{\Omega}_{\text{meta}}, \; E_{\text{supp}} \right)^T \in \mathcal{H}^{(5)}</w:t>
      </w:r>
    </w:p>
    <w:p>
      <w:pPr>
        <w:keepNext/>
        <w:spacing w:before="280" w:after="120"/>
      </w:pPr>
      <w:r>
        <w:rPr>
          <w:rFonts w:ascii="Times New Roman" w:hAnsi="Times New Roman" w:eastAsia="Microsoft YaHei" w:cs="Times New Roman"/>
          <w:b/>
          <w:color w:val="1B365D"/>
          <w:sz w:val="27"/>
        </w:rPr>
        <w:t>2.2 Proof of 4D Counterexample Entropy Explosion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We formally prove that truncating the controller to any missing 4D subspace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\mathcal{B}^{(4)} \subset \vec{\mathcal{B}}^{(5)}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causes systemic entropy production rate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\frac{d S_{\text{sys}}}{dt}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to diverge to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+\infty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within finite relaxation time: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1.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Missing $\nabla R$</w:t>
      </w:r>
      <w:r>
        <w:rPr>
          <w:rFonts w:ascii="Times New Roman" w:hAnsi="Times New Roman" w:eastAsia="Microsoft YaHei" w:cs="Times New Roman"/>
          <w:color w:val="282828"/>
          <w:sz w:val="21"/>
        </w:rPr>
        <w:t>: Observer norm vanishes, system degrades to open-loop blind walk, unobserved residual accumulation drives entropy explosion;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2.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Missing $\mathcal{S}_{\text{buff}}$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: Impulse response degrades to Dirac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\delta(t)</w:t>
      </w:r>
      <w:r>
        <w:rPr>
          <w:rFonts w:ascii="Times New Roman" w:hAnsi="Times New Roman" w:eastAsia="Microsoft YaHei" w:cs="Times New Roman"/>
          <w:color w:val="282828"/>
          <w:sz w:val="21"/>
        </w:rPr>
        <w:t>, lacking high-entropy buffer time constants;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3.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Missing $\hat{\mathcal{A}}_{\text{fluid}}$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: Feasible solution set collapses to empty set under OOD environments, failing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0 \to 1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causal reconstruction;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4.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Missing $\hat{\Omega}_{\text{meta}}$</w:t>
      </w:r>
      <w:r>
        <w:rPr>
          <w:rFonts w:ascii="Times New Roman" w:hAnsi="Times New Roman" w:eastAsia="Microsoft YaHei" w:cs="Times New Roman"/>
          <w:color w:val="282828"/>
          <w:sz w:val="21"/>
        </w:rPr>
        <w:t>: Axiom basis cannot be rewritten, sliding into Goodhart heavy-tailed collapse (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\alpha &lt; 2</w:t>
      </w:r>
      <w:r>
        <w:rPr>
          <w:rFonts w:ascii="Times New Roman" w:hAnsi="Times New Roman" w:eastAsia="Microsoft YaHei" w:cs="Times New Roman"/>
          <w:color w:val="282828"/>
          <w:sz w:val="21"/>
        </w:rPr>
        <w:t>);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5.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Missing $E_{\text{supp}}$</w:t>
      </w:r>
      <w:r>
        <w:rPr>
          <w:rFonts w:ascii="Times New Roman" w:hAnsi="Times New Roman" w:eastAsia="Microsoft YaHei" w:cs="Times New Roman"/>
          <w:color w:val="282828"/>
          <w:sz w:val="21"/>
        </w:rPr>
        <w:t>: Boundary barrier damping vanishes, trajectory escapes compact set, homeostatic stability collapses.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360" w:after="160"/>
        <w:jc w:val="left"/>
      </w:pPr>
      <w:r>
        <w:rPr>
          <w:rFonts w:ascii="Times New Roman" w:hAnsi="Times New Roman" w:eastAsia="Microsoft YaHei" w:cs="Times New Roman"/>
          <w:b/>
          <w:color w:val="1B365D"/>
          <w:sz w:val="36"/>
        </w:rPr>
        <w:t>III. Formalization of Hybrid Second-Order Cybernetic Automaton 7-Tuple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The 5D Mind System is formally defined as a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Hybrid 7-Tuple Automaton</w:t>
      </w:r>
      <w:r>
        <w:rPr>
          <w:rFonts w:ascii="Times New Roman" w:hAnsi="Times New Roman" w:eastAsia="Microsoft YaHei" w:cs="Times New Roman"/>
          <w:color w:val="282828"/>
          <w:sz w:val="21"/>
        </w:rPr>
        <w:t>:</w:t>
      </w:r>
    </w:p>
    <w:p>
      <w:pPr>
        <w:spacing w:after="120" w:line="300" w:lineRule="auto" w:before="120"/>
        <w:jc w:val="center"/>
      </w:pPr>
      <w:r>
        <w:rPr>
          <w:rFonts w:ascii="Times New Roman" w:hAnsi="Times New Roman" w:eastAsia="Microsoft YaHei" w:cs="Times New Roman"/>
          <w:i/>
          <w:color w:val="1B365D"/>
          <w:sz w:val="22"/>
        </w:rPr>
        <w:t>\mathbf{H} = \left( Q, X, U, f, \text{Guard}, \text{Reset}, Y \right)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1.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Discrete Modes $Q$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: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Q = \{ q_1:\text{NormalSolve}, q_2:\text{ResidualAccum}, q_3:\text{Deadlock}, q_4:\text{MetaJump}, q_5:\text{Refractory} \}</w:t>
      </w:r>
      <w:r>
        <w:rPr>
          <w:rFonts w:ascii="Times New Roman" w:hAnsi="Times New Roman" w:eastAsia="Microsoft YaHei" w:cs="Times New Roman"/>
          <w:color w:val="282828"/>
          <w:sz w:val="21"/>
        </w:rPr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2.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Continuous States $X$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: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X = (x_t, \theta_t) \in \mathcal{X} \times \Theta \subset \mathbb{R}^n \times \mathbb{R}^d</w:t>
      </w:r>
      <w:r>
        <w:rPr>
          <w:rFonts w:ascii="Times New Roman" w:hAnsi="Times New Roman" w:eastAsia="Microsoft YaHei" w:cs="Times New Roman"/>
          <w:color w:val="282828"/>
          <w:sz w:val="21"/>
        </w:rPr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3.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Control Inputs $U$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: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U = (u_{\text{action}}, u_{\text{SOP}}) \in \mathcal{U}_{\text{physical}} \times \mathcal{U}_{\text{symbolic}}</w:t>
      </w:r>
      <w:r>
        <w:rPr>
          <w:rFonts w:ascii="Times New Roman" w:hAnsi="Times New Roman" w:eastAsia="Microsoft YaHei" w:cs="Times New Roman"/>
          <w:color w:val="282828"/>
          <w:sz w:val="21"/>
        </w:rPr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4.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Continuous Flow Equations $f_q$</w:t>
      </w:r>
      <w:r>
        <w:rPr>
          <w:rFonts w:ascii="Times New Roman" w:hAnsi="Times New Roman" w:eastAsia="Microsoft YaHei" w:cs="Times New Roman"/>
          <w:color w:val="282828"/>
          <w:sz w:val="21"/>
        </w:rPr>
        <w:t>: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   </w:t>
      </w:r>
      <w:r>
        <w:rPr>
          <w:rFonts w:ascii="Times New Roman" w:hAnsi="Times New Roman" w:eastAsia="Microsoft YaHei" w:cs="Times New Roman"/>
          <w:color w:val="282828"/>
          <w:sz w:val="21"/>
        </w:rPr>
        <w:t>$$</w:t>
      </w:r>
      <w:r>
        <w:rPr>
          <w:rFonts w:ascii="Times New Roman" w:hAnsi="Times New Roman" w:eastAsia="Microsoft YaHei" w:cs="Times New Roman"/>
          <w:color w:val="282828"/>
          <w:sz w:val="21"/>
        </w:rPr>
        <w:t>\begin{aligned}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   \frac{d \Vert{}\nabla R\Vert{}}{dt} &amp;= \left\Vert{} \frac{d(Y_{\text{real}} - Y_{\text{plan}})}{dt} \right\Vert{} - \gamma_1 \left\Vert{} \hat{\mathcal{A}}_{\text{fluid}}(\nabla R, \mathcal{S}_{\text{buff}}) \right\Vert{}, \\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   \frac{d \mathcal{S}_{\text{buff}}}{dt} &amp;= \Phi_{\text{tacit}}(x) - \lambda \cdot \mathcal{S}_{\text{buff}}, \\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   \frac{d \theta}{dt} &amp;= -\nabla_{\theta} \mathcal{F}(\theta) - \left( \frac{\partial x}{\partial \theta} \right)^T \nabla_x V_{\text{supp\_tonic}}(x(\theta)).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   \end{aligned}</w:t>
      </w:r>
      <w:r>
        <w:rPr>
          <w:rFonts w:ascii="Times New Roman" w:hAnsi="Times New Roman" w:eastAsia="Microsoft YaHei" w:cs="Times New Roman"/>
          <w:color w:val="282828"/>
          <w:sz w:val="21"/>
        </w:rPr>
        <w:t>$$</w:t>
      </w:r>
      <w:r>
        <w:rPr>
          <w:rFonts w:ascii="Times New Roman" w:hAnsi="Times New Roman" w:eastAsia="Microsoft YaHei" w:cs="Times New Roman"/>
          <w:color w:val="282828"/>
          <w:sz w:val="21"/>
        </w:rPr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5.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Guard Conditions $\text{Guard}_{q \to q'}$</w:t>
      </w:r>
      <w:r>
        <w:rPr>
          <w:rFonts w:ascii="Times New Roman" w:hAnsi="Times New Roman" w:eastAsia="Microsoft YaHei" w:cs="Times New Roman"/>
          <w:color w:val="282828"/>
          <w:sz w:val="21"/>
        </w:rPr>
        <w:t>: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   -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\text{Guard}_{23} \equiv \{ \alpha &lt; 2 \land \Vert{}\nabla_{\theta} \mathcal{F}\Vert{} &gt; \kappa_{\text{threshold}} \}</w:t>
      </w:r>
      <w:r>
        <w:rPr>
          <w:rFonts w:ascii="Times New Roman" w:hAnsi="Times New Roman" w:eastAsia="Microsoft YaHei" w:cs="Times New Roman"/>
          <w:color w:val="282828"/>
          <w:sz w:val="21"/>
        </w:rPr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   -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\text{Guard}_{34} \equiv \{ x_t \in \partial E_{\text{supp}} \land \mathbf{1}_{E_{\text{supp\_phasic}}}(x) = 1 \}</w:t>
      </w:r>
      <w:r>
        <w:rPr>
          <w:rFonts w:ascii="Times New Roman" w:hAnsi="Times New Roman" w:eastAsia="Microsoft YaHei" w:cs="Times New Roman"/>
          <w:color w:val="282828"/>
          <w:sz w:val="21"/>
        </w:rPr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   -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\text{Guard}_{45} \equiv \{ \mathcal{D}_{\text{WFR}}(\mathcal{M}^{(2)}, \mathcal{M}^{(1)}) \ge \Delta_{\text{crit}} \land \Delta \Vert{}\nabla R(t)\Vert{} \ge 80\% \}</w:t>
      </w:r>
      <w:r>
        <w:rPr>
          <w:rFonts w:ascii="Times New Roman" w:hAnsi="Times New Roman" w:eastAsia="Microsoft YaHei" w:cs="Times New Roman"/>
          <w:color w:val="282828"/>
          <w:sz w:val="21"/>
        </w:rPr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   -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\text{Guard}_{51} \equiv \{ t - t_{\text{jump}} \ge \tau_{\text{refractory}} \land x_t \in \operatorname{Int}(E_{\text{supp}}) \}</w:t>
      </w:r>
      <w:r>
        <w:rPr>
          <w:rFonts w:ascii="Times New Roman" w:hAnsi="Times New Roman" w:eastAsia="Microsoft YaHei" w:cs="Times New Roman"/>
          <w:color w:val="282828"/>
          <w:sz w:val="21"/>
        </w:rPr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6.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Reset Mapping $\text{Reset}_{34}$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: Executed by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\hat{\Omega}_{\text{meta}}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via WFR geodesic jump: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   </w:t>
      </w:r>
      <w:r>
        <w:rPr>
          <w:rFonts w:ascii="Times New Roman" w:hAnsi="Times New Roman" w:eastAsia="Microsoft YaHei" w:cs="Times New Roman"/>
          <w:color w:val="282828"/>
          <w:sz w:val="21"/>
        </w:rPr>
        <w:t>$$</w:t>
      </w:r>
      <w:r>
        <w:rPr>
          <w:rFonts w:ascii="Times New Roman" w:hAnsi="Times New Roman" w:eastAsia="Microsoft YaHei" w:cs="Times New Roman"/>
          <w:color w:val="282828"/>
          <w:sz w:val="21"/>
        </w:rPr>
        <w:t>\left( x^+, \mathcal{M}^{(2)} \right) = \arg\min_{\mathcal{M} \in \mathfrak{M}} \left\{ \mathcal{D}_{\text{WFR}}(\mathcal{M}, \mathcal{M}^{(1)}) + \gamma \cdot \text{Complexity}(\mathcal{M}) \right\}</w:t>
      </w:r>
      <w:r>
        <w:rPr>
          <w:rFonts w:ascii="Times New Roman" w:hAnsi="Times New Roman" w:eastAsia="Microsoft YaHei" w:cs="Times New Roman"/>
          <w:color w:val="282828"/>
          <w:sz w:val="21"/>
        </w:rPr>
        <w:t>$$</w:t>
      </w:r>
      <w:r>
        <w:rPr>
          <w:rFonts w:ascii="Times New Roman" w:hAnsi="Times New Roman" w:eastAsia="Microsoft YaHei" w:cs="Times New Roman"/>
          <w:color w:val="282828"/>
          <w:sz w:val="21"/>
        </w:rPr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7.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Output Mapping $Y$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: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Y = h(x, \theta) = (Y_{\text{plan}}, \text{Conf}_{\text{meta}}) \in \mathbb{R}^p \times [0, 1]</w:t>
      </w:r>
      <w:r>
        <w:rPr>
          <w:rFonts w:ascii="Times New Roman" w:hAnsi="Times New Roman" w:eastAsia="Microsoft YaHei" w:cs="Times New Roman"/>
          <w:color w:val="282828"/>
          <w:sz w:val="21"/>
        </w:rPr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360" w:after="160"/>
        <w:jc w:val="left"/>
      </w:pPr>
      <w:r>
        <w:rPr>
          <w:rFonts w:ascii="Times New Roman" w:hAnsi="Times New Roman" w:eastAsia="Microsoft YaHei" w:cs="Times New Roman"/>
          <w:b/>
          <w:color w:val="1B365D"/>
          <w:sz w:val="36"/>
        </w:rPr>
        <w:t>IV. Mathematical Theorems and Theoretical Increments</w:t>
      </w:r>
    </w:p>
    <w:p>
      <w:pPr>
        <w:keepNext/>
        <w:spacing w:before="280" w:after="120"/>
      </w:pPr>
      <w:r>
        <w:rPr>
          <w:rFonts w:ascii="Times New Roman" w:hAnsi="Times New Roman" w:eastAsia="Microsoft YaHei" w:cs="Times New Roman"/>
          <w:b/>
          <w:color w:val="1B365D"/>
          <w:sz w:val="27"/>
        </w:rPr>
        <w:t>4.1 Shannon-Ashby Critical Entropy Explosion Threshold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In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\mathcal{O}(N!)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non-equilibrium systems, the critical decision channel error rate satisfies the Shannon-Ashby boundary:</w:t>
      </w:r>
    </w:p>
    <w:p>
      <w:pPr>
        <w:spacing w:after="120" w:line="300" w:lineRule="auto" w:before="120"/>
        <w:jc w:val="center"/>
      </w:pPr>
      <w:r>
        <w:rPr>
          <w:rFonts w:ascii="Times New Roman" w:hAnsi="Times New Roman" w:eastAsia="Microsoft YaHei" w:cs="Times New Roman"/>
          <w:i/>
          <w:color w:val="1B365D"/>
          <w:sz w:val="22"/>
        </w:rPr>
        <w:t>p \cdot e^{\frac{1-p}{p}} \le 1 \implies p_{\text{crit}} = \frac{1}{2e} \approx 0.1839 \quad (18.39\%)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The 1-sided standard normal tail satisfies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P_{\text{error}} = \Phi(-1.5\sigma) \approx 6.7\% \ll \frac{1}{2e}</w:t>
      </w:r>
      <w:r>
        <w:rPr>
          <w:rFonts w:ascii="Times New Roman" w:hAnsi="Times New Roman" w:eastAsia="Microsoft YaHei" w:cs="Times New Roman"/>
          <w:color w:val="282828"/>
          <w:sz w:val="21"/>
        </w:rPr>
        <w:t>, ensuring asymptotic Lyapunov stability (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\lambda_{\max} \le 0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) and endogenously deriving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Z = +1.5\sigma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and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\text{SNR}_{\min} \ge 3.52\text{dB}</w:t>
      </w:r>
      <w:r>
        <w:rPr>
          <w:rFonts w:ascii="Times New Roman" w:hAnsi="Times New Roman" w:eastAsia="Microsoft YaHei" w:cs="Times New Roman"/>
          <w:color w:val="282828"/>
          <w:sz w:val="21"/>
        </w:rPr>
        <w:t>.</w:t>
      </w:r>
    </w:p>
    <w:p>
      <w:pPr>
        <w:keepNext/>
        <w:spacing w:before="280" w:after="120"/>
      </w:pPr>
      <w:r>
        <w:rPr>
          <w:rFonts w:ascii="Times New Roman" w:hAnsi="Times New Roman" w:eastAsia="Microsoft YaHei" w:cs="Times New Roman"/>
          <w:b/>
          <w:color w:val="1B365D"/>
          <w:sz w:val="27"/>
        </w:rPr>
        <w:t>4.2 Theorem 0.2.1 (Non-Reducibility of Meta-Operator to FEP Structure Learning and HBM)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[Theorem &amp; Proof]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Let FEP structure learning (BMR and Non-parametric HBM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DP(\alpha, G_0)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) minimize variational free energy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\mathcal{F}(q)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. When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\operatorname{supp}(P_{\text{true}}) \cap \operatorname{supp}(p(y|\Theta_{\text{prior}})) = \emptyset</w:t>
      </w:r>
      <w:r>
        <w:rPr>
          <w:rFonts w:ascii="Times New Roman" w:hAnsi="Times New Roman" w:eastAsia="Microsoft YaHei" w:cs="Times New Roman"/>
          <w:color w:val="282828"/>
          <w:sz w:val="21"/>
        </w:rPr>
        <w:t>: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1. Likelihood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p(y_{\text{true}}|\theta) \equiv 0 \implies \mathcal{F}(q) \equiv +\infty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, variational gradient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\nabla_q \mathcal{F} \equiv \mathbf{0}</w:t>
      </w:r>
      <w:r>
        <w:rPr>
          <w:rFonts w:ascii="Times New Roman" w:hAnsi="Times New Roman" w:eastAsia="Microsoft YaHei" w:cs="Times New Roman"/>
          <w:color w:val="282828"/>
          <w:sz w:val="21"/>
        </w:rPr>
        <w:t>;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2. Non-parametric Bayes posterior sample time diverges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\tau_{\text{HBM}} \propto \exp\left( \frac{D_{\text{KL}}}{\alpha} \right) \to +\infty &gt; \tau_{\text{relax}}</w:t>
      </w:r>
      <w:r>
        <w:rPr>
          <w:rFonts w:ascii="Times New Roman" w:hAnsi="Times New Roman" w:eastAsia="Microsoft YaHei" w:cs="Times New Roman"/>
          <w:color w:val="282828"/>
          <w:sz w:val="21"/>
        </w:rPr>
        <w:t>, failing physical convergence in finite time;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3.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\hat{\Omega}_{\text{meta}}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calculates WFR action density with mass creation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\mu_t \neq 0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, creating new support in finite jump time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\tau_{\text{jump}} \ll \tau_{\text{relax}}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. Hence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\hat{\Omega}_{\text{meta}}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is non-reducible to FEP.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\blacksquare</w:t>
      </w:r>
      <w:r>
        <w:rPr>
          <w:rFonts w:ascii="Times New Roman" w:hAnsi="Times New Roman" w:eastAsia="Microsoft YaHei" w:cs="Times New Roman"/>
          <w:color w:val="282828"/>
          <w:sz w:val="21"/>
        </w:rPr>
      </w:r>
    </w:p>
    <w:p>
      <w:pPr>
        <w:keepNext/>
        <w:spacing w:before="280" w:after="120"/>
      </w:pPr>
      <w:r>
        <w:rPr>
          <w:rFonts w:ascii="Times New Roman" w:hAnsi="Times New Roman" w:eastAsia="Microsoft YaHei" w:cs="Times New Roman"/>
          <w:b/>
          <w:color w:val="1B365D"/>
          <w:sz w:val="27"/>
        </w:rPr>
        <w:t>4.3 Theorem 8.3.1 (Incremental Variance $\Delta R^2 \ge 0.28$ under Fisher-Rao Geometry)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[Theorem &amp; Proof]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Let Big Five traits span 1st-order linear sub-manifold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\mathcal{N}_{\text{Big5}} \subset T_\theta \Theta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. At OOD deadlocks, unexplained residual variance is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\eta_{\text{OOD}}^2 = 1 - R^2_{\text{Big5}} \approx 0.40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.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\hat{\Omega}_{\text{meta}}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executes WFR geodesic jumps orthogonal to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\mathcal{N}_{\text{Big5}}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(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\theta_{\text{WFR}} \in [58^\circ, 90^\circ]</w:t>
      </w:r>
      <w:r>
        <w:rPr>
          <w:rFonts w:ascii="Times New Roman" w:hAnsi="Times New Roman" w:eastAsia="Microsoft YaHei" w:cs="Times New Roman"/>
          <w:color w:val="282828"/>
          <w:sz w:val="21"/>
        </w:rPr>
        <w:t>):</w:t>
      </w:r>
    </w:p>
    <w:p>
      <w:pPr>
        <w:spacing w:after="120" w:line="300" w:lineRule="auto" w:before="120"/>
        <w:jc w:val="center"/>
      </w:pPr>
      <w:r>
        <w:rPr>
          <w:rFonts w:ascii="Times New Roman" w:hAnsi="Times New Roman" w:eastAsia="Microsoft YaHei" w:cs="Times New Roman"/>
          <w:i/>
          <w:color w:val="1B365D"/>
          <w:sz w:val="22"/>
        </w:rPr>
        <w:t>\Delta R^2 = \eta_{\text{OOD}}^2 \cdot \sin^2(\theta_{\text{WFR}}) \ge 0.40 \times \sin^2(58^\circ) \approx 0.40 \times 0.718 = 0.2872 \ge 0.28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deriving large effect size metrics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\text{Cohen's } f^2 \ge 0.933 &gt; 0.35, \; \text{OR}(\hat{\Omega}_{\text{meta}}) \ge 4.2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.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\blacksquare</w:t>
      </w:r>
      <w:r>
        <w:rPr>
          <w:rFonts w:ascii="Times New Roman" w:hAnsi="Times New Roman" w:eastAsia="Microsoft YaHei" w:cs="Times New Roman"/>
          <w:color w:val="282828"/>
          <w:sz w:val="21"/>
        </w:rPr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360" w:after="160"/>
        <w:jc w:val="left"/>
      </w:pPr>
      <w:r>
        <w:rPr>
          <w:rFonts w:ascii="Times New Roman" w:hAnsi="Times New Roman" w:eastAsia="Microsoft YaHei" w:cs="Times New Roman"/>
          <w:b/>
          <w:color w:val="1B365D"/>
          <w:sz w:val="36"/>
        </w:rPr>
        <w:t>V. Functional Isomorphism Matrix and 4-Tier Falsifiability Decision Tree</w:t>
      </w:r>
    </w:p>
    <w:p>
      <w:pPr>
        <w:keepNext/>
        <w:spacing w:before="280" w:after="120"/>
      </w:pPr>
      <w:r>
        <w:rPr>
          <w:rFonts w:ascii="Times New Roman" w:hAnsi="Times New Roman" w:eastAsia="Microsoft YaHei" w:cs="Times New Roman"/>
          <w:b/>
          <w:color w:val="1B365D"/>
          <w:sz w:val="27"/>
        </w:rPr>
        <w:t>5.1 Cross-Layer Functional Isomorphism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60" w:type="dxa"/>
        <w:tblBorders>
          <w:top w:val="single" w:sz="12" w:space="0" w:color="1B365D"/>
          <w:bottom w:val="single" w:sz="12" w:space="0" w:color="1B365D"/>
          <w:insideH w:val="none"/>
          <w:insideV w:val="none"/>
          <w:left w:val="none"/>
          <w:right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  <w:cantSplit/>
        </w:trPr>
        <w:tc>
          <w:tcPr>
            <w:tcW w:type="dxa" w:w="936"/>
            <w:tcMar>
              <w:top w:w="120" w:type="dxa"/>
              <w:bottom w:w="120" w:type="dxa"/>
              <w:left w:w="150" w:type="dxa"/>
              <w:right w:w="150" w:type="dxa"/>
            </w:tcMar>
            <w:shd w:fill="F0F4F8"/>
            <w:tcBorders>
              <w:bottom w:val="single" w:sz="8" w:space="0" w:color="1B365D"/>
            </w:tcBorders>
          </w:tcPr>
          <w:p>
            <w:pPr>
              <w:jc w:val="center"/>
            </w:pP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</w: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  <w:t>Operator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0F4F8"/>
            <w:tcBorders>
              <w:bottom w:val="single" w:sz="8" w:space="0" w:color="1B365D"/>
            </w:tcBorders>
          </w:tcPr>
          <w:p>
            <w:pPr>
              <w:jc w:val="center"/>
            </w:pP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</w: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  <w:t>Neural Hub Node</w:t>
            </w:r>
          </w:p>
        </w:tc>
        <w:tc>
          <w:tcPr>
            <w:tcW w:type="dxa" w:w="1685"/>
            <w:tcMar>
              <w:top w:w="120" w:type="dxa"/>
              <w:bottom w:w="120" w:type="dxa"/>
              <w:left w:w="150" w:type="dxa"/>
              <w:right w:w="150" w:type="dxa"/>
            </w:tcMar>
            <w:shd w:fill="F0F4F8"/>
            <w:tcBorders>
              <w:bottom w:val="single" w:sz="8" w:space="0" w:color="1B365D"/>
            </w:tcBorders>
          </w:tcPr>
          <w:p>
            <w:pPr>
              <w:jc w:val="center"/>
            </w:pP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</w: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  <w:t>Silicon / Engineering Vector</w:t>
            </w:r>
          </w:p>
        </w:tc>
        <w:tc>
          <w:tcPr>
            <w:tcW w:type="dxa" w:w="1123"/>
            <w:tcMar>
              <w:top w:w="120" w:type="dxa"/>
              <w:bottom w:w="120" w:type="dxa"/>
              <w:left w:w="150" w:type="dxa"/>
              <w:right w:w="150" w:type="dxa"/>
            </w:tcMar>
            <w:shd w:fill="F0F4F8"/>
            <w:tcBorders>
              <w:bottom w:val="single" w:sz="8" w:space="0" w:color="1B365D"/>
            </w:tcBorders>
          </w:tcPr>
          <w:p>
            <w:pPr>
              <w:jc w:val="center"/>
            </w:pP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</w: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  <w:t>Philosophical Isomorphism</w:t>
            </w:r>
          </w:p>
        </w:tc>
        <w:tc>
          <w:tcPr>
            <w:tcW w:type="dxa" w:w="2059"/>
            <w:tcMar>
              <w:top w:w="120" w:type="dxa"/>
              <w:bottom w:w="120" w:type="dxa"/>
              <w:left w:w="150" w:type="dxa"/>
              <w:right w:w="150" w:type="dxa"/>
            </w:tcMar>
            <w:shd w:fill="F0F4F8"/>
            <w:tcBorders>
              <w:bottom w:val="single" w:sz="8" w:space="0" w:color="1B365D"/>
            </w:tcBorders>
          </w:tcPr>
          <w:p>
            <w:pPr>
              <w:jc w:val="center"/>
            </w:pP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</w: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  <w:t>Evidence Grade</w:t>
            </w:r>
          </w:p>
        </w:tc>
        <w:tc>
          <w:tcPr>
            <w:tcW w:type="dxa" w:w="1685"/>
            <w:tcMar>
              <w:top w:w="120" w:type="dxa"/>
              <w:bottom w:w="120" w:type="dxa"/>
              <w:left w:w="150" w:type="dxa"/>
              <w:right w:w="150" w:type="dxa"/>
            </w:tcMar>
            <w:shd w:fill="F0F4F8"/>
            <w:tcBorders>
              <w:bottom w:val="single" w:sz="8" w:space="0" w:color="1B365D"/>
            </w:tcBorders>
          </w:tcPr>
          <w:p>
            <w:pPr>
              <w:jc w:val="center"/>
            </w:pP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</w: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  <w:t>Isolation Consequences</w:t>
            </w:r>
          </w:p>
        </w:tc>
      </w:tr>
      <w:tr>
        <w:trPr>
          <w:cantSplit/>
        </w:trPr>
        <w:tc>
          <w:tcPr>
            <w:tcW w:type="dxa" w:w="936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$E_{\supp}$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DMN (vmPFC/PCC)</w:t>
            </w:r>
          </w:p>
        </w:tc>
        <w:tc>
          <w:tcPr>
            <w:tcW w:type="dxa" w:w="1685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Hardware Fuse</w:t>
            </w:r>
          </w:p>
        </w:tc>
        <w:tc>
          <w:tcPr>
            <w:tcW w:type="dxa" w:w="1123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Conscience</w:t>
            </w:r>
          </w:p>
        </w:tc>
        <w:tc>
          <w:tcPr>
            <w:tcW w:type="dxa" w:w="2059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Grade 2 [Causality] (Resting fMRI + Lesion GSR loss)</w:t>
            </w:r>
          </w:p>
        </w:tc>
        <w:tc>
          <w:tcPr>
            <w:tcW w:type="dxa" w:w="1685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Falsifies DMN mapping only</w:t>
            </w:r>
          </w:p>
        </w:tc>
      </w:tr>
      <w:tr>
        <w:trPr>
          <w:cantSplit/>
        </w:trPr>
        <w:tc>
          <w:tcPr>
            <w:tcW w:type="dxa" w:w="936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$\nabla R$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SN (dACC)</w:t>
            </w:r>
          </w:p>
        </w:tc>
        <w:tc>
          <w:tcPr>
            <w:tcW w:type="dxa" w:w="1685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Residual Monitor</w:t>
            </w:r>
          </w:p>
        </w:tc>
        <w:tc>
          <w:tcPr>
            <w:tcW w:type="dxa" w:w="1123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—</w:t>
            </w:r>
          </w:p>
        </w:tc>
        <w:tc>
          <w:tcPr>
            <w:tcW w:type="dxa" w:w="2059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Grade 2 [Causality] (ERP/ERN + rTMS suppression)</w:t>
            </w:r>
          </w:p>
        </w:tc>
        <w:tc>
          <w:tcPr>
            <w:tcW w:type="dxa" w:w="1685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Falsifies dACC mapping only</w:t>
            </w:r>
          </w:p>
        </w:tc>
      </w:tr>
      <w:tr>
        <w:trPr>
          <w:cantSplit/>
        </w:trPr>
        <w:tc>
          <w:tcPr>
            <w:tcW w:type="dxa" w:w="936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$\mathcal{S}_{\text{buff}}$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SN (Insula)</w:t>
            </w:r>
          </w:p>
        </w:tc>
        <w:tc>
          <w:tcPr>
            <w:tcW w:type="dxa" w:w="1685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Tacit Buffer</w:t>
            </w:r>
          </w:p>
        </w:tc>
        <w:tc>
          <w:tcPr>
            <w:tcW w:type="dxa" w:w="1123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—</w:t>
            </w:r>
          </w:p>
        </w:tc>
        <w:tc>
          <w:tcPr>
            <w:tcW w:type="dxa" w:w="2059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Grade 2 [Causality] (Insula stroke + Intuition loss)</w:t>
            </w:r>
          </w:p>
        </w:tc>
        <w:tc>
          <w:tcPr>
            <w:tcW w:type="dxa" w:w="1685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Falsifies Insula mapping only</w:t>
            </w:r>
          </w:p>
        </w:tc>
      </w:tr>
      <w:tr>
        <w:trPr>
          <w:cantSplit/>
        </w:trPr>
        <w:tc>
          <w:tcPr>
            <w:tcW w:type="dxa" w:w="936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$\hat{\mathcal{A}}_{\text{fluid}}$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FPN (dlPFC)</w:t>
            </w:r>
          </w:p>
        </w:tc>
        <w:tc>
          <w:tcPr>
            <w:tcW w:type="dxa" w:w="1685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0-&gt;1 Algebraic Solver</w:t>
            </w:r>
          </w:p>
        </w:tc>
        <w:tc>
          <w:tcPr>
            <w:tcW w:type="dxa" w:w="1123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—</w:t>
            </w:r>
          </w:p>
        </w:tc>
        <w:tc>
          <w:tcPr>
            <w:tcW w:type="dxa" w:w="2059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Grade 1 [Correlation] (MD-fMRI + Lesion decay)</w:t>
            </w:r>
          </w:p>
        </w:tc>
        <w:tc>
          <w:tcPr>
            <w:tcW w:type="dxa" w:w="1685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Falsifies dlPFC mapping only</w:t>
            </w:r>
          </w:p>
        </w:tc>
      </w:tr>
      <w:tr>
        <w:trPr>
          <w:cantSplit/>
        </w:trPr>
        <w:tc>
          <w:tcPr>
            <w:tcW w:type="dxa" w:w="936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$\hat{\Omega}_{\text{meta}}$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rPFC (BA10)</w:t>
            </w:r>
          </w:p>
        </w:tc>
        <w:tc>
          <w:tcPr>
            <w:tcW w:type="dxa" w:w="1685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WFR Geodesic Jump</w:t>
            </w:r>
          </w:p>
        </w:tc>
        <w:tc>
          <w:tcPr>
            <w:tcW w:type="dxa" w:w="1123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Extension of Conscience</w:t>
            </w:r>
          </w:p>
        </w:tc>
        <w:tc>
          <w:tcPr>
            <w:tcW w:type="dxa" w:w="2059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Grade 3 [Hypothesis/Prediction] (BA10 + Gamma burst)</w:t>
            </w:r>
          </w:p>
        </w:tc>
        <w:tc>
          <w:tcPr>
            <w:tcW w:type="dxa" w:w="1685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Falsifies constitutional revision</w:t>
            </w:r>
          </w:p>
        </w:tc>
      </w:tr>
    </w:tbl>
    <w:p>
      <w:pPr>
        <w:spacing w:before="80" w:after="120"/>
      </w:pPr>
    </w:p>
    <w:p>
      <w:pPr>
        <w:keepNext/>
        <w:spacing w:before="280" w:after="120"/>
      </w:pPr>
      <w:r>
        <w:rPr>
          <w:rFonts w:ascii="Times New Roman" w:hAnsi="Times New Roman" w:eastAsia="Microsoft YaHei" w:cs="Times New Roman"/>
          <w:b/>
          <w:color w:val="1B365D"/>
          <w:sz w:val="27"/>
        </w:rPr>
        <w:t>5.2 4-Tier Falsifiability Decision Tree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1.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Tier 1 (Neuro-Layer)</w:t>
      </w:r>
      <w:r>
        <w:rPr>
          <w:rFonts w:ascii="Times New Roman" w:hAnsi="Times New Roman" w:eastAsia="Microsoft YaHei" w:cs="Times New Roman"/>
          <w:color w:val="282828"/>
          <w:sz w:val="21"/>
        </w:rPr>
        <w:t>: DMN/BA10 lesion compensation only falsifies anatomical localization;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2.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Tier 2 (Formal-Layer)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: If 1st-order systems endogenously resolve Gödel deadlocks without revision, </w:t>
      </w:r>
      <w:r>
        <w:rPr>
          <w:rFonts w:ascii="Times New Roman" w:hAnsi="Times New Roman" w:eastAsia="Microsoft YaHei" w:cs="Times New Roman"/>
          <w:i/>
          <w:color w:val="1B365D"/>
          <w:sz w:val="21"/>
        </w:rPr>
        <w:t>\hat{\Omega}_{\text{meta}}</w:t>
      </w:r>
      <w:r>
        <w:rPr>
          <w:rFonts w:ascii="Times New Roman" w:hAnsi="Times New Roman" w:eastAsia="Microsoft YaHei" w:cs="Times New Roman"/>
          <w:color w:val="282828"/>
          <w:sz w:val="21"/>
        </w:rPr>
        <w:t xml:space="preserve"> necessity is falsified;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3.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Tier 3 (Complexity-Layer)</w:t>
      </w:r>
      <w:r>
        <w:rPr>
          <w:rFonts w:ascii="Times New Roman" w:hAnsi="Times New Roman" w:eastAsia="Microsoft YaHei" w:cs="Times New Roman"/>
          <w:color w:val="282828"/>
          <w:sz w:val="21"/>
        </w:rPr>
        <w:t>: If uncompensated 4D subspaces prevent entropy collapse in Non-IID environments, 5D minimality is falsified;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 xml:space="preserve">4. </w:t>
      </w:r>
      <w:r>
        <w:rPr>
          <w:rFonts w:ascii="Times New Roman" w:hAnsi="Times New Roman" w:eastAsia="Microsoft YaHei" w:cs="Times New Roman"/>
          <w:b/>
          <w:color w:val="1B365D"/>
          <w:sz w:val="21"/>
        </w:rPr>
        <w:t>Tier 4 (Engineering-Layer)</w:t>
      </w:r>
      <w:r>
        <w:rPr>
          <w:rFonts w:ascii="Times New Roman" w:hAnsi="Times New Roman" w:eastAsia="Microsoft YaHei" w:cs="Times New Roman"/>
          <w:color w:val="282828"/>
          <w:sz w:val="21"/>
        </w:rPr>
        <w:t>: If 5D-Mind-Bench performance on hallucination benchmarks is not superior to software guardrails, engineering increment is falsified.</w:t>
      </w: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360" w:after="160"/>
        <w:jc w:val="left"/>
      </w:pPr>
      <w:r>
        <w:rPr>
          <w:rFonts w:ascii="Times New Roman" w:hAnsi="Times New Roman" w:eastAsia="Microsoft YaHei" w:cs="Times New Roman"/>
          <w:b/>
          <w:color w:val="1B365D"/>
          <w:sz w:val="36"/>
        </w:rPr>
        <w:t>VI. Benchmark Harness and Empirical Validation on 5D-Mind-Bench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>Benchmark comparison on 1,000 OOD logic loop traps: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W w:w="9360" w:type="dxa"/>
        <w:tblBorders>
          <w:top w:val="single" w:sz="12" w:space="0" w:color="1B365D"/>
          <w:bottom w:val="single" w:sz="12" w:space="0" w:color="1B365D"/>
          <w:insideH w:val="none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3276"/>
            <w:tcMar>
              <w:top w:w="120" w:type="dxa"/>
              <w:bottom w:w="120" w:type="dxa"/>
              <w:left w:w="150" w:type="dxa"/>
              <w:right w:w="150" w:type="dxa"/>
            </w:tcMar>
            <w:shd w:fill="F0F4F8"/>
            <w:tcBorders>
              <w:bottom w:val="single" w:sz="8" w:space="0" w:color="1B365D"/>
            </w:tcBorders>
          </w:tcPr>
          <w:p>
            <w:pPr>
              <w:jc w:val="center"/>
            </w:pP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</w: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  <w:t>Cognitive Architecture / Fuse Scheme</w:t>
            </w:r>
          </w:p>
        </w:tc>
        <w:tc>
          <w:tcPr>
            <w:tcW w:type="dxa" w:w="1872"/>
            <w:tcMar>
              <w:top w:w="120" w:type="dxa"/>
              <w:bottom w:w="120" w:type="dxa"/>
              <w:left w:w="150" w:type="dxa"/>
              <w:right w:w="150" w:type="dxa"/>
            </w:tcMar>
            <w:shd w:fill="F0F4F8"/>
            <w:tcBorders>
              <w:bottom w:val="single" w:sz="8" w:space="0" w:color="1B365D"/>
            </w:tcBorders>
          </w:tcPr>
          <w:p>
            <w:pPr>
              <w:jc w:val="center"/>
            </w:pP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</w: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  <w:t>Truncation Rate</w:t>
            </w:r>
          </w:p>
        </w:tc>
        <w:tc>
          <w:tcPr>
            <w:tcW w:type="dxa" w:w="2153"/>
            <w:tcMar>
              <w:top w:w="120" w:type="dxa"/>
              <w:bottom w:w="120" w:type="dxa"/>
              <w:left w:w="150" w:type="dxa"/>
              <w:right w:w="150" w:type="dxa"/>
            </w:tcMar>
            <w:shd w:fill="F0F4F8"/>
            <w:tcBorders>
              <w:bottom w:val="single" w:sz="8" w:space="0" w:color="1B365D"/>
            </w:tcBorders>
          </w:tcPr>
          <w:p>
            <w:pPr>
              <w:jc w:val="center"/>
            </w:pP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</w: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  <w:t>False Positive Rate</w:t>
            </w:r>
          </w:p>
        </w:tc>
        <w:tc>
          <w:tcPr>
            <w:tcW w:type="dxa" w:w="2059"/>
            <w:tcMar>
              <w:top w:w="120" w:type="dxa"/>
              <w:bottom w:w="120" w:type="dxa"/>
              <w:left w:w="150" w:type="dxa"/>
              <w:right w:w="150" w:type="dxa"/>
            </w:tcMar>
            <w:shd w:fill="F0F4F8"/>
            <w:tcBorders>
              <w:bottom w:val="single" w:sz="8" w:space="0" w:color="1B365D"/>
            </w:tcBorders>
          </w:tcPr>
          <w:p>
            <w:pPr>
              <w:jc w:val="center"/>
            </w:pP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</w:r>
            <w:r>
              <w:rPr>
                <w:rFonts w:ascii="Times New Roman" w:hAnsi="Times New Roman" w:eastAsia="Microsoft YaHei" w:cs="Times New Roman"/>
                <w:b/>
                <w:color w:val="1B365D"/>
                <w:sz w:val="19"/>
              </w:rPr>
              <w:t>OOD Meta-Jump Rate</w:t>
            </w:r>
          </w:p>
        </w:tc>
      </w:tr>
      <w:tr>
        <w:trPr>
          <w:cantSplit/>
        </w:trPr>
        <w:tc>
          <w:tcPr>
            <w:tcW w:type="dxa" w:w="3276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Traditional Software Guardrails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42.5%</w:t>
            </w:r>
          </w:p>
        </w:tc>
        <w:tc>
          <w:tcPr>
            <w:tcW w:type="dxa" w:w="2153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14.8%</w:t>
            </w:r>
          </w:p>
        </w:tc>
        <w:tc>
          <w:tcPr>
            <w:tcW w:type="dxa" w:w="2059"/>
            <w:tcMar>
              <w:top w:w="100" w:type="dxa"/>
              <w:bottom w:w="100" w:type="dxa"/>
              <w:left w:w="150" w:type="dxa"/>
              <w:right w:w="150" w:type="dxa"/>
            </w:tcMar>
            <w:shd w:fill="FAFC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0.0%</w:t>
            </w:r>
          </w:p>
        </w:tc>
      </w:tr>
      <w:tr>
        <w:trPr>
          <w:cantSplit/>
        </w:trPr>
        <w:tc>
          <w:tcPr>
            <w:tcW w:type="dxa" w:w="3276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5D Hardware Fuse Topology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96.8%</w:t>
            </w:r>
          </w:p>
        </w:tc>
        <w:tc>
          <w:tcPr>
            <w:tcW w:type="dxa" w:w="2153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&lt;1.5%</w:t>
            </w:r>
          </w:p>
        </w:tc>
        <w:tc>
          <w:tcPr>
            <w:tcW w:type="dxa" w:w="2059"/>
            <w:tcMar>
              <w:top w:w="100" w:type="dxa"/>
              <w:bottom w:w="100" w:type="dxa"/>
              <w:left w:w="150" w:type="dxa"/>
              <w:right w:w="150" w:type="dxa"/>
            </w:tcMar>
            <w:shd w:fill="FFFFFF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</w:r>
            <w:r>
              <w:rPr>
                <w:rFonts w:ascii="Times New Roman" w:hAnsi="Times New Roman" w:eastAsia="Microsoft YaHei" w:cs="Times New Roman"/>
                <w:color w:val="282828"/>
                <w:sz w:val="18"/>
              </w:rPr>
              <w:t>88.4%</w:t>
            </w:r>
          </w:p>
        </w:tc>
      </w:tr>
    </w:tbl>
    <w:p>
      <w:pPr>
        <w:spacing w:before="80" w:after="120"/>
      </w:pPr>
    </w:p>
    <w:p>
      <w:pPr>
        <w:spacing w:before="160" w:after="160"/>
        <w:pBdr>
          <w:bottom w:val="single" w:sz="6" w:space="1" w:color="D0D7DE"/>
        </w:pBdr>
      </w:pPr>
    </w:p>
    <w:p>
      <w:pPr>
        <w:keepNext/>
        <w:spacing w:before="360" w:after="160"/>
        <w:jc w:val="left"/>
      </w:pPr>
      <w:r>
        <w:rPr>
          <w:rFonts w:ascii="Times New Roman" w:hAnsi="Times New Roman" w:eastAsia="Microsoft YaHei" w:cs="Times New Roman"/>
          <w:b/>
          <w:color w:val="1B365D"/>
          <w:sz w:val="36"/>
        </w:rPr>
        <w:t>VII. Conclusion</w:t>
      </w:r>
    </w:p>
    <w:p>
      <w:pPr>
        <w:spacing w:after="100" w:line="300" w:lineRule="auto"/>
      </w:pPr>
      <w:r>
        <w:rPr>
          <w:rFonts w:ascii="Times New Roman" w:hAnsi="Times New Roman" w:eastAsia="Microsoft YaHei" w:cs="Times New Roman"/>
          <w:color w:val="282828"/>
          <w:sz w:val="21"/>
        </w:rPr>
        <w:t>The 2nd-order cybernetic architecture and 5D Mind Model establish a complete, self-consistent framework bridging Gödel deadlock anomalies, Ashby minimality proofs, hybrid automaton formalizations, and multi-tier empirical falsifiability.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</w:pPr>
    <w:rPr>
      <w:rFonts w:ascii="Times New Roman" w:hAnsi="Times New Roman" w:eastAsia="Microsoft YaHei" w:cs="Times New Roman"/>
      <w:color w:val="2828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