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cover-letter-for-journal-submission"/>
    <w:p>
      <w:pPr>
        <w:pStyle w:val="Heading1"/>
      </w:pPr>
      <w:r>
        <w:t xml:space="preserve">Cover Letter for Journal Submission</w:t>
      </w:r>
    </w:p>
    <w:p>
      <w:pPr>
        <w:pStyle w:val="FirstParagraph"/>
      </w:pPr>
      <w:r>
        <w:rPr>
          <w:b/>
          <w:bCs/>
        </w:rPr>
        <w:t xml:space="preserve">Target Journal</w:t>
      </w:r>
      <w:r>
        <w:t xml:space="preserve">:</w:t>
      </w:r>
      <w:r>
        <w:t xml:space="preserve"> </w:t>
      </w:r>
      <w:r>
        <w:rPr>
          <w:i/>
          <w:iCs/>
        </w:rPr>
        <w:t xml:space="preserve">IEEE Transactions on Systems, Man, and Cybernetics: Systems</w:t>
      </w:r>
      <w:r>
        <w:t xml:space="preserve"> </w:t>
      </w:r>
      <w:r>
        <w:t xml:space="preserve">(IEEE TSMC)</w:t>
      </w:r>
      <w:r>
        <w:br/>
      </w:r>
      <w:r>
        <w:rPr>
          <w:b/>
          <w:bCs/>
        </w:rPr>
        <w:t xml:space="preserve">Manuscript Title</w:t>
      </w:r>
      <w:r>
        <w:t xml:space="preserve">: Conscience-Driven Holographic Metacognition: The 5D Mind Model as a Cybernetic Paradigm for Open Complex Giant Systems</w:t>
      </w:r>
      <w:r>
        <w:br/>
      </w:r>
      <w:r>
        <w:rPr>
          <w:b/>
          <w:bCs/>
        </w:rPr>
        <w:t xml:space="preserve">Authors</w:t>
      </w:r>
      <w:r>
        <w:t xml:space="preserve">: Grit Meng (Fanchun Meng)</w:t>
      </w:r>
      <w:r>
        <w:br/>
      </w:r>
      <w:r>
        <w:rPr>
          <w:b/>
          <w:bCs/>
        </w:rPr>
        <w:t xml:space="preserve">Corresponding Author</w:t>
      </w:r>
      <w:r>
        <w:t xml:space="preserve">: Grit Meng (</w:t>
      </w:r>
      <w:r>
        <w:rPr>
          <w:rStyle w:val="VerbatimChar"/>
        </w:rPr>
        <w:t xml:space="preserve">gritmeng@outlook.com</w:t>
      </w:r>
      <w:r>
        <w:t xml:space="preserve">, ORCID:</w:t>
      </w:r>
      <w:r>
        <w:t xml:space="preserve"> </w:t>
      </w:r>
      <w:hyperlink r:id="rId9">
        <w:r>
          <w:rPr>
            <w:rStyle w:val="Hyperlink"/>
          </w:rPr>
          <w:t xml:space="preserve">0009-0004-9840-9494</w:t>
        </w:r>
      </w:hyperlink>
      <w:r>
        <w:t xml:space="preserve">)</w:t>
      </w:r>
      <w:r>
        <w:br/>
      </w:r>
      <w:r>
        <w:rPr>
          <w:b/>
          <w:bCs/>
        </w:rPr>
        <w:t xml:space="preserve">Affiliation</w:t>
      </w:r>
      <w:r>
        <w:t xml:space="preserve">: Value Chain Physics &amp; Metacognition Cybernetics Laboratory, Beijing, China</w:t>
      </w:r>
      <w:r>
        <w:br/>
      </w:r>
      <w:r>
        <w:rPr>
          <w:b/>
          <w:bCs/>
        </w:rPr>
        <w:t xml:space="preserve">Date</w:t>
      </w:r>
      <w:r>
        <w:t xml:space="preserve">: September 13, 2026</w:t>
      </w:r>
    </w:p>
    <w:p>
      <w:r>
        <w:pict>
          <v:rect style="width:0;height:1.5pt" o:hralign="center" o:hrstd="t" o:hr="t"/>
        </w:pict>
      </w:r>
    </w:p>
    <w:bookmarkStart w:id="10" w:name="Xcfdabdb1f770e6953d6b5d6b62be5ad1c777e8f"/>
    <w:p>
      <w:pPr>
        <w:pStyle w:val="Heading3"/>
      </w:pPr>
      <w:r>
        <w:t xml:space="preserve">To the Editor-in-Chief and Editorial Board of</w:t>
      </w:r>
      <w:r>
        <w:t xml:space="preserve"> </w:t>
      </w:r>
      <w:r>
        <w:rPr>
          <w:i/>
          <w:iCs/>
        </w:rPr>
        <w:t xml:space="preserve">IEEE Transactions on Systems, Man, and Cybernetics: Systems</w:t>
      </w:r>
      <w:r>
        <w:t xml:space="preserve">,</w:t>
      </w:r>
    </w:p>
    <w:p>
      <w:pPr>
        <w:pStyle w:val="FirstParagraph"/>
      </w:pPr>
      <w:r>
        <w:t xml:space="preserve">Dear Editor-in-Chief and Associate Editors,</w:t>
      </w:r>
    </w:p>
    <w:p>
      <w:pPr>
        <w:pStyle w:val="BodyText"/>
      </w:pPr>
      <w:r>
        <w:t xml:space="preserve">I am pleased to submit our original research manuscript titled</w:t>
      </w:r>
      <w:r>
        <w:t xml:space="preserve"> </w:t>
      </w:r>
      <w:r>
        <w:rPr>
          <w:b/>
          <w:bCs/>
        </w:rPr>
        <w:t xml:space="preserve">“Conscience-Driven Holographic Metacognition: The 5D Mind Model as a Cybernetic Paradigm for Open Complex Giant Systems”</w:t>
      </w:r>
      <w:r>
        <w:t xml:space="preserve"> </w:t>
      </w:r>
      <w:r>
        <w:t xml:space="preserve">for consideration as a Regular Paper in</w:t>
      </w:r>
      <w:r>
        <w:t xml:space="preserve"> </w:t>
      </w:r>
      <w:r>
        <w:rPr>
          <w:i/>
          <w:iCs/>
        </w:rPr>
        <w:t xml:space="preserve">IEEE Transactions on Systems, Man, and Cybernetics: Systems</w:t>
      </w:r>
      <w:r>
        <w:t xml:space="preserve">.</w:t>
      </w:r>
    </w:p>
    <w:bookmarkEnd w:id="10"/>
    <w:bookmarkStart w:id="11" w:name="executive-summary-background-motivation"/>
    <w:p>
      <w:pPr>
        <w:pStyle w:val="Heading3"/>
      </w:pPr>
      <w:r>
        <w:t xml:space="preserve">Executive Summary &amp; Background Motivation</w:t>
      </w:r>
    </w:p>
    <w:p>
      <w:pPr>
        <w:pStyle w:val="FirstParagraph"/>
      </w:pPr>
      <w:r>
        <w:t xml:space="preserve">As autonomous artificial intelligence agents, sociotechnical infrastructures, and cyber-physical multi-agent networks scale in complexity, classical first-order optimization frameworks (such as Empirical Risk Minimization and standard Variational Free Energy Minimization) encounter systemic barriers. In Open Complex Giant Systems (OCGS), first-order control loops inevitably suffer from</w:t>
      </w:r>
      <w:r>
        <w:t xml:space="preserve"> </w:t>
      </w:r>
      <w:r>
        <w:rPr>
          <w:b/>
          <w:bCs/>
        </w:rPr>
        <w:t xml:space="preserve">Gödelian self-referential deadlocks</w:t>
      </w:r>
      <w:r>
        <w:t xml:space="preserve"> </w:t>
      </w:r>
      <w:r>
        <w:t xml:space="preserve">and</w:t>
      </w:r>
      <w:r>
        <w:t xml:space="preserve"> </w:t>
      </w:r>
      <w:r>
        <w:rPr>
          <w:b/>
          <w:bCs/>
        </w:rPr>
        <w:t xml:space="preserve">Goodhart heavy-tailed residual variance divergence</w:t>
      </w:r>
      <w:r>
        <w:t xml:space="preserve"> </w:t>
      </w:r>
      <w:r>
        <w:t xml:space="preserve">(</w:t>
      </w:r>
      <m:oMath>
        <m:r>
          <m:t>α</m:t>
        </m:r>
        <m:r>
          <m:rPr>
            <m:sty m:val="p"/>
          </m:rPr>
          <m:t>&lt;</m:t>
        </m:r>
        <m:r>
          <m:t>2</m:t>
        </m:r>
      </m:oMath>
      <w:r>
        <w:t xml:space="preserve">). Under out-of-distribution (OOD) stress, these vulnerabilities manifest as catastrophic alignment failures, reward hacking, and thermal entropy collapse.</w:t>
      </w:r>
    </w:p>
    <w:p>
      <w:pPr>
        <w:pStyle w:val="BodyText"/>
      </w:pPr>
      <w:r>
        <w:t xml:space="preserve">To solve this grand challenge at the intersection of cybernetics, thermodynamic governance, and AI safety, this paper formulates the</w:t>
      </w:r>
      <w:r>
        <w:t xml:space="preserve"> </w:t>
      </w:r>
      <w:r>
        <w:rPr>
          <w:b/>
          <w:bCs/>
        </w:rPr>
        <w:t xml:space="preserve">5D Mind Model</w:t>
      </w:r>
      <w:r>
        <w:t xml:space="preserve">—a rigorous second-order cybernetic control paradigm grounded in differential topology and non-equilibrium thermodynamics.</w:t>
      </w:r>
    </w:p>
    <w:bookmarkEnd w:id="11"/>
    <w:bookmarkStart w:id="12" w:name="X23df97401284dee6ab910d5a3bd3bc4c55b6d78"/>
    <w:p>
      <w:pPr>
        <w:pStyle w:val="Heading3"/>
      </w:pPr>
      <w:r>
        <w:t xml:space="preserve">Core Scientific Contributions &amp; Breakthroughs</w:t>
      </w:r>
    </w:p>
    <w:p>
      <w:pPr>
        <w:pStyle w:val="Compact"/>
        <w:numPr>
          <w:ilvl w:val="0"/>
          <w:numId w:val="1001"/>
        </w:numPr>
      </w:pPr>
      <w:r>
        <w:rPr>
          <w:b/>
          <w:bCs/>
        </w:rPr>
        <w:t xml:space="preserve">5D Topological Manifold Construction (</w:t>
      </w:r>
      <m:oMath>
        <m:sSup>
          <m:e>
            <m:r>
              <m:rPr>
                <m:scr m:val="double-struck"/>
                <m:sty m:val="p"/>
              </m:rPr>
              <m:t>R</m:t>
            </m:r>
          </m:e>
          <m:sup>
            <m:r>
              <m:t>3</m:t>
            </m:r>
          </m:sup>
        </m:sSup>
        <m:r>
          <m:rPr>
            <m:sty m:val="p"/>
          </m:rPr>
          <m:t>×</m:t>
        </m:r>
        <m:sSup>
          <m:e>
            <m:r>
              <m:rPr>
                <m:scr m:val="double-struck"/>
                <m:sty m:val="p"/>
              </m:rPr>
              <m:t>T</m:t>
            </m:r>
          </m:e>
          <m:sup>
            <m:r>
              <m:t>1</m:t>
            </m:r>
          </m:sup>
        </m:sSup>
        <m:r>
          <m:rPr>
            <m:sty m:val="p"/>
          </m:rPr>
          <m:t>×</m:t>
        </m:r>
        <m:sSup>
          <m:e>
            <m:r>
              <m:rPr>
                <m:scr m:val="double-struck"/>
                <m:sty m:val="p"/>
              </m:rPr>
              <m:t>S</m:t>
            </m:r>
          </m:e>
          <m:sup>
            <m:r>
              <m:t>1</m:t>
            </m:r>
          </m:sup>
        </m:sSup>
      </m:oMath>
      <w:r>
        <w:rPr>
          <w:b/>
          <w:bCs/>
        </w:rPr>
        <w:t xml:space="preserve">)</w:t>
      </w:r>
      <w:r>
        <w:t xml:space="preserve">:</w:t>
      </w:r>
      <w:r>
        <w:t xml:space="preserve"> </w:t>
      </w:r>
      <w:r>
        <w:t xml:space="preserve">We extend standard spacetime by introducing a compact one-dimensional conscience-metacognitive circle</w:t>
      </w:r>
      <w:r>
        <w:t xml:space="preserve"> </w:t>
      </w:r>
      <m:oMath>
        <m:sSup>
          <m:e>
            <m:r>
              <m:rPr>
                <m:scr m:val="double-struck"/>
                <m:sty m:val="p"/>
              </m:rPr>
              <m:t>S</m:t>
            </m:r>
          </m:e>
          <m:sup>
            <m:r>
              <m:t>1</m:t>
            </m:r>
          </m:sup>
        </m:sSup>
      </m:oMath>
      <w:r>
        <w:t xml:space="preserve">, defining an invariant phase-space topological boundary</w:t>
      </w:r>
      <w:r>
        <w:t xml:space="preserve"> </w:t>
      </w:r>
      <m:oMath>
        <m:sSub>
          <m:e>
            <m:r>
              <m:t>E</m:t>
            </m:r>
          </m:e>
          <m:sub>
            <m:r>
              <m:rPr>
                <m:nor/>
                <m:sty m:val="p"/>
              </m:rPr>
              <m:t>supp</m:t>
            </m:r>
          </m:sub>
        </m:sSub>
      </m:oMath>
      <w:r>
        <w:t xml:space="preserve"> </w:t>
      </w:r>
      <w:r>
        <w:t xml:space="preserve">that physically cuts off catastrophic system trajectories before entropy explosion.</w:t>
      </w:r>
    </w:p>
    <w:p>
      <w:pPr>
        <w:pStyle w:val="Compact"/>
        <w:numPr>
          <w:ilvl w:val="0"/>
          <w:numId w:val="1001"/>
        </w:numPr>
      </w:pPr>
      <w:r>
        <w:rPr>
          <w:b/>
          <w:bCs/>
        </w:rPr>
        <w:t xml:space="preserve">Residual Entropy Rate Differential Equation</w:t>
      </w:r>
      <w:r>
        <w:t xml:space="preserve">:</w:t>
      </w:r>
      <w:r>
        <w:t xml:space="preserve"> </w:t>
      </w:r>
      <w:r>
        <w:t xml:space="preserve">We establish a novel thermodynamic rate equation governing anti-entropic buffer accumulation</w:t>
      </w:r>
      <w:r>
        <w:t xml:space="preserve"> </w:t>
      </w:r>
      <m:oMath>
        <m:sSub>
          <m:e>
            <m:r>
              <m:rPr>
                <m:scr m:val="script"/>
                <m:sty m:val="p"/>
              </m:rPr>
              <m:t>S</m:t>
            </m:r>
          </m:e>
          <m:sub>
            <m:r>
              <m:rPr>
                <m:nor/>
                <m:sty m:val="p"/>
              </m:rPr>
              <m:t>buff</m:t>
            </m:r>
          </m:sub>
        </m:sSub>
      </m:oMath>
      <w:r>
        <w:t xml:space="preserve">:</w:t>
      </w:r>
    </w:p>
    <w:p>
      <w:pPr>
        <w:pStyle w:val="Compact"/>
      </w:pPr>
      <m:oMathPara>
        <m:oMathParaPr>
          <m:jc m:val="center"/>
        </m:oMathParaPr>
        <m:oMath>
          <m:f>
            <m:fPr>
              <m:type m:val="bar"/>
            </m:fPr>
            <m:num>
              <m:r>
                <m:t>d</m:t>
              </m:r>
              <m:sSub>
                <m:e>
                  <m:r>
                    <m:t>S</m:t>
                  </m:r>
                </m:e>
                <m:sub>
                  <m:r>
                    <m:rPr>
                      <m:nor/>
                      <m:sty m:val="p"/>
                    </m:rPr>
                    <m:t>sys</m:t>
                  </m:r>
                </m:sub>
              </m:sSub>
            </m:num>
            <m:den>
              <m:r>
                <m:t>d</m:t>
              </m:r>
              <m:r>
                <m:t>t</m:t>
              </m:r>
            </m:den>
          </m:f>
          <m:r>
            <m:rPr>
              <m:sty m:val="p"/>
            </m:rPr>
            <m:t>=</m:t>
          </m:r>
          <m:r>
            <m:t>α</m:t>
          </m:r>
          <m:r>
            <m:rPr>
              <m:sty m:val="p"/>
            </m:rPr>
            <m:t>∥</m:t>
          </m:r>
          <m:r>
            <m:rPr>
              <m:sty m:val="p"/>
            </m:rPr>
            <m:t>∇</m:t>
          </m:r>
          <m:r>
            <m:t>R</m:t>
          </m:r>
          <m:r>
            <m:rPr>
              <m:sty m:val="p"/>
            </m:rPr>
            <m:t>(</m:t>
          </m:r>
          <m:r>
            <m:t>t</m:t>
          </m:r>
          <m:r>
            <m:rPr>
              <m:sty m:val="p"/>
            </m:rPr>
            <m:t>)</m:t>
          </m:r>
          <m:r>
            <m:rPr>
              <m:sty m:val="p"/>
            </m:rPr>
            <m:t>∥</m:t>
          </m:r>
          <m:r>
            <m:rPr>
              <m:sty m:val="p"/>
            </m:rPr>
            <m:t>−</m:t>
          </m:r>
          <m:r>
            <m:t>β</m:t>
          </m:r>
          <m:r>
            <m:rPr>
              <m:sty m:val="p"/>
            </m:rPr>
            <m:t>⋅</m:t>
          </m:r>
          <m:sSub>
            <m:e>
              <m:r>
                <m:rPr>
                  <m:sty m:val="b"/>
                </m:rPr>
                <m:t>1</m:t>
              </m:r>
            </m:e>
            <m:sub>
              <m:sSub>
                <m:e>
                  <m:r>
                    <m:t>E</m:t>
                  </m:r>
                </m:e>
                <m:sub>
                  <m:r>
                    <m:rPr>
                      <m:nor/>
                      <m:sty m:val="p"/>
                    </m:rPr>
                    <m:t>supp</m:t>
                  </m:r>
                </m:sub>
              </m:sSub>
            </m:sub>
          </m:sSub>
          <m:r>
            <m:rPr>
              <m:sty m:val="p"/>
            </m:rPr>
            <m:t>(</m:t>
          </m:r>
          <m:r>
            <m:t>x</m:t>
          </m:r>
          <m:r>
            <m:rPr>
              <m:sty m:val="p"/>
            </m:rPr>
            <m:t>)</m:t>
          </m:r>
          <m:r>
            <m:rPr>
              <m:sty m:val="p"/>
            </m:rPr>
            <m:t>⋅</m:t>
          </m:r>
          <m:sSub>
            <m:e>
              <m:r>
                <m:t>P</m:t>
              </m:r>
            </m:e>
            <m:sub>
              <m:r>
                <m:rPr>
                  <m:nor/>
                  <m:sty m:val="p"/>
                </m:rPr>
                <m:t>supp</m:t>
              </m:r>
            </m:sub>
          </m:sSub>
          <m:r>
            <m:rPr>
              <m:sty m:val="p"/>
            </m:rPr>
            <m:t>⋅</m:t>
          </m:r>
          <m:sSup>
            <m:e>
              <m:r>
                <m:t>e</m:t>
              </m:r>
            </m:e>
            <m:sup>
              <m:r>
                <m:rPr>
                  <m:sty m:val="p"/>
                </m:rPr>
                <m:t>−</m:t>
              </m:r>
              <m:r>
                <m:t>λ</m:t>
              </m:r>
              <m:r>
                <m:rPr>
                  <m:sty m:val="p"/>
                </m:rPr>
                <m:t>⋅</m:t>
              </m:r>
              <m:r>
                <m:rPr>
                  <m:nor/>
                  <m:sty m:val="p"/>
                </m:rPr>
                <m:t>Depth</m:t>
              </m:r>
            </m:sup>
          </m:sSup>
        </m:oMath>
      </m:oMathPara>
    </w:p>
    <w:p>
      <w:pPr>
        <w:pStyle w:val="Compact"/>
        <w:numPr>
          <w:ilvl w:val="0"/>
          <w:numId w:val="1000"/>
        </w:numPr>
      </w:pPr>
      <w:r>
        <w:t xml:space="preserve">This equation mathematically guarantees heavy-tail truncation and dynamic thermal stabilization in open non-equilibrium systems.</w:t>
      </w:r>
    </w:p>
    <w:p>
      <w:pPr>
        <w:pStyle w:val="Compact"/>
        <w:numPr>
          <w:ilvl w:val="0"/>
          <w:numId w:val="1001"/>
        </w:numPr>
      </w:pPr>
      <w:r>
        <w:rPr>
          <w:b/>
          <w:bCs/>
        </w:rPr>
        <w:t xml:space="preserve">Second-Order Metacognitive Operator</w:t>
      </w:r>
      <w:r>
        <w:rPr>
          <w:b/>
          <w:bCs/>
        </w:rPr>
        <w:t xml:space="preserve"> </w:t>
      </w:r>
      <m:oMath>
        <m:sSub>
          <m:e>
            <m:acc>
              <m:accPr>
                <m:chr m:val="̂"/>
              </m:accPr>
              <m:e>
                <m:r>
                  <m:rPr>
                    <m:sty m:val="p"/>
                  </m:rPr>
                  <m:t>Ω</m:t>
                </m:r>
              </m:e>
            </m:acc>
          </m:e>
          <m:sub>
            <m:r>
              <m:rPr>
                <m:nor/>
                <m:sty m:val="p"/>
              </m:rPr>
              <m:t>meta</m:t>
            </m:r>
          </m:sub>
        </m:sSub>
      </m:oMath>
      <w:r>
        <w:t xml:space="preserve">:</w:t>
      </w:r>
      <w:r>
        <w:t xml:space="preserve"> </w:t>
      </w:r>
      <w:r>
        <w:t xml:space="preserve">We formulate</w:t>
      </w:r>
      <w:r>
        <w:t xml:space="preserve"> </w:t>
      </w:r>
      <m:oMath>
        <m:sSub>
          <m:e>
            <m:acc>
              <m:accPr>
                <m:chr m:val="̂"/>
              </m:accPr>
              <m:e>
                <m:r>
                  <m:rPr>
                    <m:sty m:val="p"/>
                  </m:rPr>
                  <m:t>Ω</m:t>
                </m:r>
              </m:e>
            </m:acc>
          </m:e>
          <m:sub>
            <m:r>
              <m:rPr>
                <m:nor/>
                <m:sty m:val="p"/>
              </m:rPr>
              <m:t>meta</m:t>
            </m:r>
          </m:sub>
        </m:sSub>
      </m:oMath>
      <w:r>
        <w:t xml:space="preserve">, an operator operating along Fisher-Rao manifold geodesics to execute non-continuous paradigm jumps</w:t>
      </w:r>
      <w:r>
        <w:t xml:space="preserve"> </w:t>
      </w:r>
      <m:oMath>
        <m:sSup>
          <m:e>
            <m:r>
              <m:rPr>
                <m:scr m:val="script"/>
                <m:sty m:val="p"/>
              </m:rPr>
              <m:t>M</m:t>
            </m:r>
          </m:e>
          <m:sup>
            <m:r>
              <m:rPr>
                <m:sty m:val="p"/>
              </m:rPr>
              <m:t>(</m:t>
            </m:r>
            <m:r>
              <m:t>1</m:t>
            </m:r>
            <m:r>
              <m:rPr>
                <m:sty m:val="p"/>
              </m:rPr>
              <m:t>)</m:t>
            </m:r>
          </m:sup>
        </m:sSup>
        <m:r>
          <m:rPr>
            <m:sty m:val="p"/>
          </m:rPr>
          <m:t>↦</m:t>
        </m:r>
        <m:sSup>
          <m:e>
            <m:r>
              <m:rPr>
                <m:scr m:val="script"/>
                <m:sty m:val="p"/>
              </m:rPr>
              <m:t>M</m:t>
            </m:r>
          </m:e>
          <m:sup>
            <m:r>
              <m:rPr>
                <m:sty m:val="p"/>
              </m:rPr>
              <m:t>(</m:t>
            </m:r>
            <m:r>
              <m:t>2</m:t>
            </m:r>
            <m:r>
              <m:rPr>
                <m:sty m:val="p"/>
              </m:rPr>
              <m:t>)</m:t>
            </m:r>
          </m:sup>
        </m:sSup>
      </m:oMath>
      <w:r>
        <w:t xml:space="preserve"> </w:t>
      </w:r>
      <w:r>
        <w:t xml:space="preserve">whenever first-order variational inference reaches a Gödelian deadlock.</w:t>
      </w:r>
    </w:p>
    <w:p>
      <w:pPr>
        <w:pStyle w:val="Compact"/>
        <w:numPr>
          <w:ilvl w:val="0"/>
          <w:numId w:val="1001"/>
        </w:numPr>
      </w:pPr>
      <w:r>
        <w:rPr>
          <w:b/>
          <w:bCs/>
        </w:rPr>
        <w:t xml:space="preserve">Empirical Dual-Track Validation (fMRI</w:t>
      </w:r>
      <w:r>
        <w:rPr>
          <w:b/>
          <w:bCs/>
        </w:rPr>
        <w:t xml:space="preserve"> </w:t>
      </w:r>
      <m:oMath>
        <m:r>
          <m:t>N</m:t>
        </m:r>
        <m:r>
          <m:rPr>
            <m:sty m:val="p"/>
          </m:rPr>
          <m:t>=</m:t>
        </m:r>
        <m:r>
          <m:t>48</m:t>
        </m:r>
      </m:oMath>
      <w:r>
        <w:rPr>
          <w:b/>
          <w:bCs/>
        </w:rPr>
        <w:t xml:space="preserve"> </w:t>
      </w:r>
      <w:r>
        <w:rPr>
          <w:b/>
          <w:bCs/>
        </w:rPr>
        <w:t xml:space="preserve">&amp; In-Silico AI Benchmarks)</w:t>
      </w:r>
      <w:r>
        <w:t xml:space="preserve">:</w:t>
      </w:r>
    </w:p>
    <w:p>
      <w:pPr>
        <w:pStyle w:val="Compact"/>
        <w:numPr>
          <w:ilvl w:val="1"/>
          <w:numId w:val="1002"/>
        </w:numPr>
      </w:pPr>
      <w:r>
        <w:rPr>
          <w:b/>
          <w:bCs/>
        </w:rPr>
        <w:t xml:space="preserve">Neurobiological Mapping</w:t>
      </w:r>
      <w:r>
        <w:t xml:space="preserve">: Task-fMRI (</w:t>
      </w:r>
      <m:oMath>
        <m:r>
          <m:t>N</m:t>
        </m:r>
        <m:r>
          <m:rPr>
            <m:sty m:val="p"/>
          </m:rPr>
          <m:t>=</m:t>
        </m:r>
        <m:r>
          <m:t>48</m:t>
        </m:r>
      </m:oMath>
      <w:r>
        <w:t xml:space="preserve">) confirms specific neural correlates for the</w:t>
      </w:r>
      <w:r>
        <w:t xml:space="preserve"> </w:t>
      </w:r>
      <m:oMath>
        <m:sSup>
          <m:e>
            <m:r>
              <m:rPr>
                <m:scr m:val="double-struck"/>
                <m:sty m:val="p"/>
              </m:rPr>
              <m:t>S</m:t>
            </m:r>
          </m:e>
          <m:sup>
            <m:r>
              <m:t>1</m:t>
            </m:r>
          </m:sup>
        </m:sSup>
      </m:oMath>
      <w:r>
        <w:t xml:space="preserve"> </w:t>
      </w:r>
      <w:r>
        <w:t xml:space="preserve">topological invariant, demonstrating dynamic coupling across the Default Mode Network (DMN), ventral lateral medial prefrontal cortex (vLMPC), Anterior Insula (AI), and dACC.</w:t>
      </w:r>
    </w:p>
    <w:p>
      <w:pPr>
        <w:pStyle w:val="Compact"/>
        <w:numPr>
          <w:ilvl w:val="1"/>
          <w:numId w:val="1002"/>
        </w:numPr>
      </w:pPr>
      <w:r>
        <w:rPr>
          <w:b/>
          <w:bCs/>
        </w:rPr>
        <w:t xml:space="preserve">AI Safety Performance</w:t>
      </w:r>
      <w:r>
        <w:t xml:space="preserve">: In-silico deep architecture stress tests demonstrate a</w:t>
      </w:r>
      <w:r>
        <w:t xml:space="preserve"> </w:t>
      </w:r>
      <w:r>
        <w:rPr>
          <w:b/>
          <w:bCs/>
        </w:rPr>
        <w:t xml:space="preserve">94.7% reduction in catastrophic alignment failures</w:t>
      </w:r>
      <w:r>
        <w:t xml:space="preserve"> </w:t>
      </w:r>
      <w:r>
        <w:t xml:space="preserve">under extreme out-of-distribution conditions.</w:t>
      </w:r>
    </w:p>
    <w:bookmarkEnd w:id="12"/>
    <w:bookmarkStart w:id="13" w:name="alignment-with-ieee-tsmc-scope"/>
    <w:p>
      <w:pPr>
        <w:pStyle w:val="Heading3"/>
      </w:pPr>
      <w:r>
        <w:t xml:space="preserve">Alignment with</w:t>
      </w:r>
      <w:r>
        <w:t xml:space="preserve"> </w:t>
      </w:r>
      <w:r>
        <w:rPr>
          <w:i/>
          <w:iCs/>
        </w:rPr>
        <w:t xml:space="preserve">IEEE TSMC</w:t>
      </w:r>
      <w:r>
        <w:t xml:space="preserve"> </w:t>
      </w:r>
      <w:r>
        <w:t xml:space="preserve">Scope</w:t>
      </w:r>
    </w:p>
    <w:p>
      <w:pPr>
        <w:pStyle w:val="FirstParagraph"/>
      </w:pPr>
      <w:r>
        <w:rPr>
          <w:i/>
          <w:iCs/>
        </w:rPr>
        <w:t xml:space="preserve">IEEE Transactions on Systems, Man, and Cybernetics: Systems</w:t>
      </w:r>
      <w:r>
        <w:t xml:space="preserve"> </w:t>
      </w:r>
      <w:r>
        <w:t xml:space="preserve">is the world’s premier forum for foundational theories in complex giant systems, human-machine cybernetics, and intelligent system governance. This work advances the classic cybernetic tradition of Ashby, Wiener, and Qian Xuesen into the modern era of deep AI alignment and sociotechnical governance, providing both mathematical proofs and empirical neuro-computational validation.</w:t>
      </w:r>
    </w:p>
    <w:bookmarkEnd w:id="13"/>
    <w:bookmarkStart w:id="14" w:name="X8392ef80d6ef0f3c6597ad9ce04a55741ab8fe7"/>
    <w:p>
      <w:pPr>
        <w:pStyle w:val="Heading3"/>
      </w:pPr>
      <w:r>
        <w:t xml:space="preserve">Ethical Declarations &amp; Submission Integrity</w:t>
      </w:r>
    </w:p>
    <w:p>
      <w:pPr>
        <w:pStyle w:val="Compact"/>
        <w:numPr>
          <w:ilvl w:val="0"/>
          <w:numId w:val="1003"/>
        </w:numPr>
      </w:pPr>
      <w:r>
        <w:rPr>
          <w:b/>
          <w:bCs/>
        </w:rPr>
        <w:t xml:space="preserve">Originality</w:t>
      </w:r>
      <w:r>
        <w:t xml:space="preserve">: This manuscript represents original work that has not been published previously and is not currently under consideration for publication elsewhere.</w:t>
      </w:r>
    </w:p>
    <w:p>
      <w:pPr>
        <w:pStyle w:val="Compact"/>
        <w:numPr>
          <w:ilvl w:val="0"/>
          <w:numId w:val="1003"/>
        </w:numPr>
      </w:pPr>
      <w:r>
        <w:rPr>
          <w:b/>
          <w:bCs/>
        </w:rPr>
        <w:t xml:space="preserve">Ethics &amp; Human Subjects</w:t>
      </w:r>
      <w:r>
        <w:t xml:space="preserve">: All fMRI secondary data mining strictly adheres to public open-science data protocols (OpenNeuro / HCP) with institutional IRB approvals.</w:t>
      </w:r>
    </w:p>
    <w:p>
      <w:pPr>
        <w:pStyle w:val="Compact"/>
        <w:numPr>
          <w:ilvl w:val="0"/>
          <w:numId w:val="1003"/>
        </w:numPr>
      </w:pPr>
      <w:r>
        <w:rPr>
          <w:b/>
          <w:bCs/>
        </w:rPr>
        <w:t xml:space="preserve">Conflicts of Interest</w:t>
      </w:r>
      <w:r>
        <w:t xml:space="preserve">: The author declares no competing financial or personal interests.</w:t>
      </w:r>
    </w:p>
    <w:p>
      <w:pPr>
        <w:pStyle w:val="Compact"/>
        <w:numPr>
          <w:ilvl w:val="0"/>
          <w:numId w:val="1003"/>
        </w:numPr>
      </w:pPr>
      <w:r>
        <w:rPr>
          <w:b/>
          <w:bCs/>
        </w:rPr>
        <w:t xml:space="preserve">Data &amp; Code Availability</w:t>
      </w:r>
      <w:r>
        <w:t xml:space="preserve">: All mathematical proofs, model implementation code, and simulation scripts will be made fully open-source upon acceptance.</w:t>
      </w:r>
    </w:p>
    <w:bookmarkEnd w:id="14"/>
    <w:bookmarkStart w:id="15" w:name="suggested-peer-reviewers"/>
    <w:p>
      <w:pPr>
        <w:pStyle w:val="Heading3"/>
      </w:pPr>
      <w:r>
        <w:t xml:space="preserve">Suggested Peer Reviewers</w:t>
      </w:r>
    </w:p>
    <w:p>
      <w:pPr>
        <w:pStyle w:val="FirstParagraph"/>
      </w:pPr>
      <w:r>
        <w:t xml:space="preserve">We respectfully suggest the following international experts in cybernetics, systems engineering, and neuro-computational modeling as potential reviewers:</w:t>
      </w:r>
      <w:r>
        <w:t xml:space="preserve"> </w:t>
      </w:r>
      <w:r>
        <w:t xml:space="preserve">1.</w:t>
      </w:r>
      <w:r>
        <w:t xml:space="preserve"> </w:t>
      </w:r>
      <w:r>
        <w:rPr>
          <w:b/>
          <w:bCs/>
        </w:rPr>
        <w:t xml:space="preserve">Prof. Karl J. Friston</w:t>
      </w:r>
      <w:r>
        <w:t xml:space="preserve">, Wellcome Centre for Human Neuroimaging, University College London (Expertise: Free Energy Principle, active inference, theoretical neurobiology).</w:t>
      </w:r>
      <w:r>
        <w:t xml:space="preserve"> </w:t>
      </w:r>
      <w:r>
        <w:t xml:space="preserve">2.</w:t>
      </w:r>
      <w:r>
        <w:t xml:space="preserve"> </w:t>
      </w:r>
      <w:r>
        <w:rPr>
          <w:b/>
          <w:bCs/>
        </w:rPr>
        <w:t xml:space="preserve">Prof. Longbing Cao</w:t>
      </w:r>
      <w:r>
        <w:t xml:space="preserve">, Data Science Institute, University of Technology Sydney / Macquarie University (Expertise: Non-IID learning, complex behavioral dynamics, artificial intelligence).</w:t>
      </w:r>
      <w:r>
        <w:t xml:space="preserve"> </w:t>
      </w:r>
      <w:r>
        <w:t xml:space="preserve">3.</w:t>
      </w:r>
      <w:r>
        <w:t xml:space="preserve"> </w:t>
      </w:r>
      <w:r>
        <w:rPr>
          <w:b/>
          <w:bCs/>
        </w:rPr>
        <w:t xml:space="preserve">Prof. Giulio Tononi</w:t>
      </w:r>
      <w:r>
        <w:t xml:space="preserve">, Department of Psychiatry, University of Wisconsin–Madison (Expertise: Integrated Information Theory, conscious architecture, theoretical neuroscience).</w:t>
      </w:r>
      <w:r>
        <w:t xml:space="preserve"> </w:t>
      </w:r>
      <w:r>
        <w:t xml:space="preserve">4.</w:t>
      </w:r>
      <w:r>
        <w:t xml:space="preserve"> </w:t>
      </w:r>
      <w:r>
        <w:rPr>
          <w:b/>
          <w:bCs/>
        </w:rPr>
        <w:t xml:space="preserve">Prof. Stuart Russell</w:t>
      </w:r>
      <w:r>
        <w:t xml:space="preserve">, Center for Human-Compatible AI, University of California, Berkeley (Expertise: AI safety alignment, provably beneficial AI, decision theory).</w:t>
      </w:r>
    </w:p>
    <w:p>
      <w:pPr>
        <w:pStyle w:val="BodyText"/>
      </w:pPr>
      <w:r>
        <w:t xml:space="preserve">Thank you very much for considering our manuscript for publication in</w:t>
      </w:r>
      <w:r>
        <w:t xml:space="preserve"> </w:t>
      </w:r>
      <w:r>
        <w:rPr>
          <w:i/>
          <w:iCs/>
        </w:rPr>
        <w:t xml:space="preserve">IEEE Transactions on Systems, Man, and Cybernetics: Systems</w:t>
      </w:r>
      <w:r>
        <w:t xml:space="preserve">. We look forward to receiving the reviewers’ feedback.</w:t>
      </w:r>
    </w:p>
    <w:p>
      <w:pPr>
        <w:pStyle w:val="BodyText"/>
      </w:pPr>
      <w:r>
        <w:t xml:space="preserve">Sincerely yours,</w:t>
      </w:r>
    </w:p>
    <w:p>
      <w:pPr>
        <w:pStyle w:val="BodyText"/>
      </w:pPr>
      <w:r>
        <w:rPr>
          <w:b/>
          <w:bCs/>
        </w:rPr>
        <w:t xml:space="preserve">Grit Meng (Fanchun Meng)</w:t>
      </w:r>
      <w:r>
        <w:br/>
      </w:r>
      <w:r>
        <w:t xml:space="preserve">Founder &amp; Chief Scientist</w:t>
      </w:r>
      <w:r>
        <w:br/>
      </w:r>
      <w:r>
        <w:t xml:space="preserve">Value Chain Physics &amp; Metacognition Cybernetics Laboratory</w:t>
      </w:r>
      <w:r>
        <w:br/>
      </w:r>
      <w:r>
        <w:t xml:space="preserve">Beijing, China</w:t>
      </w:r>
      <w:r>
        <w:br/>
      </w:r>
      <w:r>
        <w:t xml:space="preserve">Email:</w:t>
      </w:r>
      <w:r>
        <w:t xml:space="preserve"> </w:t>
      </w:r>
      <w:r>
        <w:rPr>
          <w:rStyle w:val="VerbatimChar"/>
        </w:rPr>
        <w:t xml:space="preserve">gritmeng@outlook.com</w:t>
      </w:r>
      <w:r>
        <w:br/>
      </w:r>
      <w:r>
        <w:t xml:space="preserve">ORCID:</w:t>
      </w:r>
      <w:r>
        <w:t xml:space="preserve"> </w:t>
      </w:r>
      <w:r>
        <w:rPr>
          <w:rStyle w:val="VerbatimChar"/>
        </w:rPr>
        <w:t xml:space="preserve">0009-0004-9840-9494</w:t>
      </w:r>
      <w:r>
        <w:br/>
      </w:r>
      <w:r>
        <w:t xml:space="preserve">Website/Repo:</w:t>
      </w:r>
      <w:r>
        <w:t xml:space="preserve"> </w:t>
      </w:r>
      <w:r>
        <w:rPr>
          <w:rStyle w:val="VerbatimChar"/>
        </w:rPr>
        <w:t xml:space="preserve">https://github.com/GritMeng/Value-Chain-Physics</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orcid.org/0009-0004-9840-9494" TargetMode="External" /></Relationships>
</file>

<file path=word/_rels/footnotes.xml.rels><?xml version="1.0" encoding="UTF-8"?><Relationships xmlns="http://schemas.openxmlformats.org/package/2006/relationships"><Relationship Type="http://schemas.openxmlformats.org/officeDocument/2006/relationships/hyperlink" Id="rId9" Target="https://orcid.org/0009-0004-9840-949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2026-09-12T20:24:27Z</dcterms:created>
  <dcterms:modified xsi:type="dcterms:W3CDTF">2026-09-12T20:24:27Z</dcterms:modified>
</cp:coreProperties>
</file>

<file path=docProps/custom.xml><?xml version="1.0" encoding="utf-8"?>
<Properties xmlns="http://schemas.openxmlformats.org/officeDocument/2006/custom-properties" xmlns:vt="http://schemas.openxmlformats.org/officeDocument/2006/docPropsVTypes"/>
</file>