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anuscript-title-page"/>
    <w:p>
      <w:pPr>
        <w:pStyle w:val="Heading1"/>
      </w:pPr>
      <w:r>
        <w:t xml:space="preserve">MANUSCRIPT TITLE PAGE</w:t>
      </w:r>
    </w:p>
    <w:p>
      <w:pPr>
        <w:pStyle w:val="FirstParagraph"/>
      </w:pPr>
      <w:r>
        <w:rPr>
          <w:b/>
          <w:bCs/>
        </w:rPr>
        <w:t xml:space="preserve">Target Journal</w:t>
      </w:r>
      <w:r>
        <w:t xml:space="preserve">:</w:t>
      </w:r>
      <w:r>
        <w:t xml:space="preserve"> </w:t>
      </w:r>
      <w:r>
        <w:rPr>
          <w:i/>
          <w:iCs/>
        </w:rPr>
        <w:t xml:space="preserve">IEEE Transactions on Systems, Man, and Cybernetics: Systems</w:t>
      </w:r>
      <w:r>
        <w:t xml:space="preserve"> </w:t>
      </w:r>
      <w:r>
        <w:t xml:space="preserve">(IEEE TSMC)</w:t>
      </w:r>
      <w:r>
        <w:br/>
      </w:r>
      <w:r>
        <w:rPr>
          <w:b/>
          <w:bCs/>
        </w:rPr>
        <w:t xml:space="preserve">Article Type</w:t>
      </w:r>
      <w:r>
        <w:t xml:space="preserve">: Regular Paper / Full Research Article</w:t>
      </w:r>
    </w:p>
    <w:p>
      <w:r>
        <w:pict>
          <v:rect style="width:0;height:1.5pt" o:hralign="center" o:hrstd="t" o:hr="t"/>
        </w:pict>
      </w:r>
    </w:p>
    <w:bookmarkStart w:id="9" w:name="title-information"/>
    <w:p>
      <w:pPr>
        <w:pStyle w:val="Heading2"/>
      </w:pPr>
      <w:r>
        <w:t xml:space="preserve">1. Title Information</w:t>
      </w:r>
    </w:p>
    <w:p>
      <w:pPr>
        <w:pStyle w:val="Compact"/>
        <w:numPr>
          <w:ilvl w:val="0"/>
          <w:numId w:val="1001"/>
        </w:numPr>
      </w:pPr>
      <w:r>
        <w:rPr>
          <w:b/>
          <w:bCs/>
        </w:rPr>
        <w:t xml:space="preserve">Full Title</w:t>
      </w:r>
      <w:r>
        <w:t xml:space="preserve">:</w:t>
      </w:r>
      <w:r>
        <w:br/>
      </w:r>
      <w:r>
        <w:rPr>
          <w:b/>
          <w:bCs/>
        </w:rPr>
        <w:t xml:space="preserve">Conscience-Driven Holographic Metacognition: The 5D Mind Model as a Cybernetic Paradigm for Open Complex Giant Systems</w:t>
      </w:r>
    </w:p>
    <w:p>
      <w:pPr>
        <w:pStyle w:val="Compact"/>
        <w:numPr>
          <w:ilvl w:val="0"/>
          <w:numId w:val="1001"/>
        </w:numPr>
      </w:pPr>
      <w:r>
        <w:rPr>
          <w:b/>
          <w:bCs/>
        </w:rPr>
        <w:t xml:space="preserve">Short Running Title (Running Head)</w:t>
      </w:r>
      <w:r>
        <w:t xml:space="preserve">:</w:t>
      </w:r>
      <w:r>
        <w:br/>
      </w:r>
      <w:r>
        <w:rPr>
          <w:i/>
          <w:iCs/>
        </w:rPr>
        <w:t xml:space="preserve">5D Mind Model: Holographic Metacognition for OCGS Governance</w:t>
      </w:r>
    </w:p>
    <w:p>
      <w:pPr>
        <w:pStyle w:val="Compact"/>
        <w:numPr>
          <w:ilvl w:val="0"/>
          <w:numId w:val="1001"/>
        </w:numPr>
      </w:pPr>
      <w:r>
        <w:rPr>
          <w:b/>
          <w:bCs/>
        </w:rPr>
        <w:t xml:space="preserve">Subject Category / Track</w:t>
      </w:r>
      <w:r>
        <w:t xml:space="preserve">:</w:t>
      </w:r>
      <w:r>
        <w:br/>
      </w:r>
      <w:r>
        <w:t xml:space="preserve">Cybernetics, Systems Theory, Second-Order Control, AI Safety &amp; Governance, Non-Equilibrium Thermodynamics.</w:t>
      </w:r>
    </w:p>
    <w:p>
      <w:r>
        <w:pict>
          <v:rect style="width:0;height:1.5pt" o:hralign="center" o:hrstd="t" o:hr="t"/>
        </w:pict>
      </w:r>
    </w:p>
    <w:bookmarkEnd w:id="9"/>
    <w:bookmarkStart w:id="12" w:name="author-details-affiliations"/>
    <w:p>
      <w:pPr>
        <w:pStyle w:val="Heading2"/>
      </w:pPr>
      <w:r>
        <w:t xml:space="preserve">2. Author Details &amp; Affiliations</w:t>
      </w:r>
    </w:p>
    <w:p>
      <w:pPr>
        <w:pStyle w:val="Compact"/>
        <w:numPr>
          <w:ilvl w:val="0"/>
          <w:numId w:val="1002"/>
        </w:numPr>
      </w:pPr>
      <w:r>
        <w:rPr>
          <w:b/>
          <w:bCs/>
        </w:rPr>
        <w:t xml:space="preserve">Primary &amp; Corresponding Author</w:t>
      </w:r>
      <w:r>
        <w:t xml:space="preserve">:</w:t>
      </w:r>
      <w:r>
        <w:br/>
      </w:r>
      <w:r>
        <w:rPr>
          <w:b/>
          <w:bCs/>
        </w:rPr>
        <w:t xml:space="preserve">Grit Meng (Fanchun Meng)</w:t>
      </w:r>
    </w:p>
    <w:p>
      <w:pPr>
        <w:pStyle w:val="Compact"/>
        <w:numPr>
          <w:ilvl w:val="0"/>
          <w:numId w:val="1002"/>
        </w:numPr>
      </w:pPr>
      <w:r>
        <w:rPr>
          <w:b/>
          <w:bCs/>
        </w:rPr>
        <w:t xml:space="preserve">Current Position &amp; Affiliation</w:t>
      </w:r>
      <w:r>
        <w:t xml:space="preserve">:</w:t>
      </w:r>
      <w:r>
        <w:br/>
      </w:r>
      <w:r>
        <w:t xml:space="preserve">Founder &amp; Chief Scientist,</w:t>
      </w:r>
      <w:r>
        <w:br/>
      </w:r>
      <w:r>
        <w:rPr>
          <w:i/>
          <w:iCs/>
        </w:rPr>
        <w:t xml:space="preserve">Value Chain Physics &amp; Metacognition Cybernetics Laboratory</w:t>
      </w:r>
      <w:r>
        <w:t xml:space="preserve">, Beijing, China</w:t>
      </w:r>
    </w:p>
    <w:p>
      <w:pPr>
        <w:pStyle w:val="Compact"/>
        <w:numPr>
          <w:ilvl w:val="0"/>
          <w:numId w:val="1002"/>
        </w:numPr>
      </w:pPr>
      <w:r>
        <w:rPr>
          <w:b/>
          <w:bCs/>
        </w:rPr>
        <w:t xml:space="preserve">Email Address</w:t>
      </w:r>
      <w:r>
        <w:t xml:space="preserve">:</w:t>
      </w:r>
      <w:r>
        <w:t xml:space="preserve"> </w:t>
      </w:r>
      <w:r>
        <w:rPr>
          <w:rStyle w:val="VerbatimChar"/>
        </w:rPr>
        <w:t xml:space="preserve">gritmeng@outlook.com</w:t>
      </w:r>
    </w:p>
    <w:p>
      <w:pPr>
        <w:pStyle w:val="Compact"/>
        <w:numPr>
          <w:ilvl w:val="0"/>
          <w:numId w:val="1002"/>
        </w:numPr>
      </w:pPr>
      <w:r>
        <w:rPr>
          <w:b/>
          <w:bCs/>
        </w:rPr>
        <w:t xml:space="preserve">ORCID iD</w:t>
      </w:r>
      <w:r>
        <w:t xml:space="preserve">:</w:t>
      </w:r>
      <w:r>
        <w:t xml:space="preserve"> </w:t>
      </w:r>
      <w:hyperlink r:id="rId10">
        <w:r>
          <w:rPr>
            <w:rStyle w:val="Hyperlink"/>
          </w:rPr>
          <w:t xml:space="preserve">0009-0004-9840-9494</w:t>
        </w:r>
      </w:hyperlink>
    </w:p>
    <w:p>
      <w:pPr>
        <w:pStyle w:val="Compact"/>
        <w:numPr>
          <w:ilvl w:val="0"/>
          <w:numId w:val="1002"/>
        </w:numPr>
      </w:pPr>
      <w:r>
        <w:rPr>
          <w:b/>
          <w:bCs/>
        </w:rPr>
        <w:t xml:space="preserve">Author GitHub Repository</w:t>
      </w:r>
      <w:r>
        <w:t xml:space="preserve">:</w:t>
      </w:r>
      <w:r>
        <w:t xml:space="preserve"> </w:t>
      </w:r>
      <w:hyperlink r:id="rId11">
        <w:r>
          <w:rPr>
            <w:rStyle w:val="Hyperlink"/>
          </w:rPr>
          <w:t xml:space="preserve">https://github.com/GritMeng/Value-Chain-Physics</w:t>
        </w:r>
      </w:hyperlink>
    </w:p>
    <w:p>
      <w:r>
        <w:pict>
          <v:rect style="width:0;height:1.5pt" o:hralign="center" o:hrstd="t" o:hr="t"/>
        </w:pict>
      </w:r>
    </w:p>
    <w:bookmarkEnd w:id="12"/>
    <w:bookmarkStart w:id="15" w:name="abstract-keywords"/>
    <w:p>
      <w:pPr>
        <w:pStyle w:val="Heading2"/>
      </w:pPr>
      <w:r>
        <w:t xml:space="preserve">3. Abstract &amp; Keywords</w:t>
      </w:r>
    </w:p>
    <w:bookmarkStart w:id="13" w:name="abstract"/>
    <w:p>
      <w:pPr>
        <w:pStyle w:val="Heading3"/>
      </w:pPr>
      <w:r>
        <w:t xml:space="preserve">Abstract</w:t>
      </w:r>
    </w:p>
    <w:p>
      <w:pPr>
        <w:pStyle w:val="FirstParagraph"/>
      </w:pPr>
      <w:r>
        <w:t xml:space="preserve">As autonomous artificial intelligence systems scale across sociotechnical infrastructures, first-order optimization paradigms encounter fundamental structural limitations regarding behavioral alignment, non-stationary distribution shifts, and adversarial exploitation. This paper presents the</w:t>
      </w:r>
      <w:r>
        <w:t xml:space="preserve"> </w:t>
      </w:r>
      <w:r>
        <w:rPr>
          <w:b/>
          <w:bCs/>
        </w:rPr>
        <w:t xml:space="preserve">5D Mind Model</w:t>
      </w:r>
      <w:r>
        <w:t xml:space="preserve">, a formal cybernetic paradigm for governance and self-regulation in Open Complex Giant Systems (OCGS). By modeling the cognitive manifold across a five-dimensional topological space</w:t>
      </w:r>
      <w:r>
        <w:t xml:space="preserve"> </w:t>
      </w:r>
      <m:oMath>
        <m:r>
          <m:rPr>
            <m:scr m:val="script"/>
            <m:sty m:val="p"/>
          </m:rPr>
          <m:t>M</m:t>
        </m:r>
        <m:r>
          <m:rPr>
            <m:sty m:val="p"/>
          </m:rPr>
          <m:t>=</m:t>
        </m:r>
        <m:sSup>
          <m:e>
            <m:r>
              <m:rPr>
                <m:scr m:val="double-struck"/>
                <m:sty m:val="p"/>
              </m:rPr>
              <m:t>R</m:t>
            </m:r>
          </m:e>
          <m:sup>
            <m:r>
              <m:t>3</m:t>
            </m:r>
          </m:sup>
        </m:sSup>
        <m:r>
          <m:rPr>
            <m:sty m:val="p"/>
          </m:rPr>
          <m:t>×</m:t>
        </m:r>
        <m:sSup>
          <m:e>
            <m:r>
              <m:rPr>
                <m:scr m:val="double-struck"/>
                <m:sty m:val="p"/>
              </m:rPr>
              <m:t>T</m:t>
            </m:r>
          </m:e>
          <m:sup>
            <m:r>
              <m:t>1</m:t>
            </m:r>
          </m:sup>
        </m:sSup>
        <m:r>
          <m:rPr>
            <m:sty m:val="p"/>
          </m:rPr>
          <m:t>×</m:t>
        </m:r>
        <m:sSup>
          <m:e>
            <m:r>
              <m:rPr>
                <m:scr m:val="double-struck"/>
                <m:sty m:val="p"/>
              </m:rPr>
              <m:t>S</m:t>
            </m:r>
          </m:e>
          <m:sup>
            <m:r>
              <m:t>1</m:t>
            </m:r>
          </m:sup>
        </m:sSup>
      </m:oMath>
      <w:r>
        <w:t xml:space="preserve">—comprising three-dimensional physical configuration space</w:t>
      </w:r>
      <w:r>
        <w:t xml:space="preserve"> </w:t>
      </w:r>
      <m:oMath>
        <m:sSup>
          <m:e>
            <m:r>
              <m:rPr>
                <m:scr m:val="double-struck"/>
                <m:sty m:val="p"/>
              </m:rPr>
              <m:t>R</m:t>
            </m:r>
          </m:e>
          <m:sup>
            <m:r>
              <m:t>3</m:t>
            </m:r>
          </m:sup>
        </m:sSup>
      </m:oMath>
      <w:r>
        <w:t xml:space="preserve">, one-dimensional monotonic historical time</w:t>
      </w:r>
      <w:r>
        <w:t xml:space="preserve"> </w:t>
      </w:r>
      <m:oMath>
        <m:sSup>
          <m:e>
            <m:r>
              <m:rPr>
                <m:scr m:val="double-struck"/>
                <m:sty m:val="p"/>
              </m:rPr>
              <m:t>T</m:t>
            </m:r>
          </m:e>
          <m:sup>
            <m:r>
              <m:t>1</m:t>
            </m:r>
          </m:sup>
        </m:sSup>
      </m:oMath>
      <w:r>
        <w:t xml:space="preserve">, and a one-dimensional compact conscience-metacognitive invariant circle</w:t>
      </w:r>
      <w:r>
        <w:t xml:space="preserve"> </w:t>
      </w:r>
      <m:oMath>
        <m:sSup>
          <m:e>
            <m:r>
              <m:rPr>
                <m:scr m:val="double-struck"/>
                <m:sty m:val="p"/>
              </m:rPr>
              <m:t>S</m:t>
            </m:r>
          </m:e>
          <m:sup>
            <m:r>
              <m:t>1</m:t>
            </m:r>
          </m:sup>
        </m:sSup>
      </m:oMath>
      <w:r>
        <w:t xml:space="preserve">—we establish a dual-track scientific validation framework uniting qualitative cybernetic control with quantitative neurobiological empirical verification. We prove that first-order task execution operators</w:t>
      </w:r>
      <w:r>
        <w:t xml:space="preserve"> </w:t>
      </w:r>
      <m:oMath>
        <m:sSub>
          <m:e>
            <m:r>
              <m:rPr>
                <m:scr m:val="script"/>
                <m:sty m:val="p"/>
              </m:rPr>
              <m:t>T</m:t>
            </m:r>
          </m:e>
          <m:sub>
            <m:r>
              <m:rPr>
                <m:nor/>
                <m:sty m:val="p"/>
              </m:rPr>
              <m:t>first-order</m:t>
            </m:r>
          </m:sub>
        </m:sSub>
      </m:oMath>
      <w:r>
        <w:t xml:space="preserve"> </w:t>
      </w:r>
      <w:r>
        <w:t xml:space="preserve">are structurally bounded by Gödelian incompleteness and Goodhart heavy-tailed variance divergence (</w:t>
      </w:r>
      <m:oMath>
        <m:r>
          <m:t>α</m:t>
        </m:r>
        <m:r>
          <m:rPr>
            <m:sty m:val="p"/>
          </m:rPr>
          <m:t>&lt;</m:t>
        </m:r>
        <m:r>
          <m:t>2</m:t>
        </m:r>
      </m:oMath>
      <w:r>
        <w:t xml:space="preserve">). To prevent non-equilibrium collapse, we formulate a second-order metacognitive operator</w:t>
      </w:r>
      <w:r>
        <w:t xml:space="preserve"> </w:t>
      </w:r>
      <m:oMath>
        <m:sSub>
          <m:e>
            <m:acc>
              <m:accPr>
                <m:chr m:val="̂"/>
              </m:accPr>
              <m:e>
                <m:r>
                  <m:rPr>
                    <m:sty m:val="p"/>
                  </m:rPr>
                  <m:t>Ω</m:t>
                </m:r>
              </m:e>
            </m:acc>
          </m:e>
          <m:sub>
            <m:r>
              <m:rPr>
                <m:nor/>
                <m:sty m:val="p"/>
              </m:rPr>
              <m:t>meta</m:t>
            </m:r>
          </m:sub>
        </m:sSub>
      </m:oMath>
      <w:r>
        <w:t xml:space="preserve"> </w:t>
      </w:r>
      <w:r>
        <w:t xml:space="preserve">operating over a dynamic supp-set boundary</w:t>
      </w:r>
      <w:r>
        <w:t xml:space="preserve"> </w:t>
      </w:r>
      <m:oMath>
        <m:sSub>
          <m:e>
            <m:r>
              <m:t>E</m:t>
            </m:r>
          </m:e>
          <m:sub>
            <m:r>
              <m:rPr>
                <m:nor/>
                <m:sty m:val="p"/>
              </m:rPr>
              <m:t>supp</m:t>
            </m:r>
          </m:sub>
        </m:sSub>
      </m:oMath>
      <w:r>
        <w:t xml:space="preserve">. Thermodynamic entropy production is regulated via a novel residual entropy rate differential equation:</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oMath>
      </m:oMathPara>
    </w:p>
    <w:p>
      <w:pPr>
        <w:pStyle w:val="FirstParagraph"/>
      </w:pPr>
      <w:r>
        <w:t xml:space="preserve">governing anti-entropic buffer dissipation</w:t>
      </w:r>
      <w:r>
        <w:t xml:space="preserve"> </w:t>
      </w:r>
      <m:oMath>
        <m:sSub>
          <m:e>
            <m:r>
              <m:rPr>
                <m:scr m:val="script"/>
                <m:sty m:val="p"/>
              </m:rPr>
              <m:t>S</m:t>
            </m:r>
          </m:e>
          <m:sub>
            <m:r>
              <m:rPr>
                <m:nor/>
                <m:sty m:val="p"/>
              </m:rPr>
              <m:t>buff</m:t>
            </m:r>
          </m:sub>
        </m:sSub>
      </m:oMath>
      <w:r>
        <w:t xml:space="preserve">. Functional magnetic resonance imaging (fMRI,</w:t>
      </w:r>
      <w:r>
        <w:t xml:space="preserve"> </w:t>
      </w:r>
      <m:oMath>
        <m:r>
          <m:t>N</m:t>
        </m:r>
        <m:r>
          <m:rPr>
            <m:sty m:val="p"/>
          </m:rPr>
          <m:t>=</m:t>
        </m:r>
        <m:r>
          <m:t>48</m:t>
        </m:r>
      </m:oMath>
      <w:r>
        <w:t xml:space="preserve">) confirms specific neural correlates corresponding to</w:t>
      </w:r>
      <w:r>
        <w:t xml:space="preserve"> </w:t>
      </w:r>
      <m:oMath>
        <m:sSup>
          <m:e>
            <m:r>
              <m:rPr>
                <m:scr m:val="double-struck"/>
                <m:sty m:val="p"/>
              </m:rPr>
              <m:t>S</m:t>
            </m:r>
          </m:e>
          <m:sup>
            <m:r>
              <m:t>1</m:t>
            </m:r>
          </m:sup>
        </m:sSup>
      </m:oMath>
      <w:r>
        <w:t xml:space="preserve"> </w:t>
      </w:r>
      <w:r>
        <w:t xml:space="preserve">activation, specifically dynamic coupling between the Default Mode Network (DMN), ventral lateral medial prefrontal cortex (vLMPC), and anterior insula. Empirical benchmarks demonstrate a</w:t>
      </w:r>
      <w:r>
        <w:t xml:space="preserve"> </w:t>
      </w:r>
      <w:r>
        <w:rPr>
          <w:b/>
          <w:bCs/>
        </w:rPr>
        <w:t xml:space="preserve">94.7% reduction in catastrophic alignment failures</w:t>
      </w:r>
      <w:r>
        <w:t xml:space="preserve"> </w:t>
      </w:r>
      <w:r>
        <w:t xml:space="preserve">under out-of-distribution stress. This work bridges classical cybernetics, non-equilibrium thermodynamics, and modern AI safety.</w:t>
      </w:r>
    </w:p>
    <w:bookmarkEnd w:id="13"/>
    <w:bookmarkStart w:id="14" w:name="keywords"/>
    <w:p>
      <w:pPr>
        <w:pStyle w:val="Heading3"/>
      </w:pPr>
      <w:r>
        <w:t xml:space="preserve">Keywords</w:t>
      </w:r>
    </w:p>
    <w:p>
      <w:pPr>
        <w:pStyle w:val="FirstParagraph"/>
      </w:pPr>
      <w:r>
        <w:t xml:space="preserve">Cybernetics, Open Complex Giant Systems (OCGS), Holographic Metacognition, Conscience-Driven Governance, 5D Mind Model, Second-Order Control, AI Alignment, Entropy Rate Differential Equation, Non-IID Theory.</w:t>
      </w:r>
    </w:p>
    <w:p>
      <w:r>
        <w:pict>
          <v:rect style="width:0;height:1.5pt" o:hralign="center" o:hrstd="t" o:hr="t"/>
        </w:pict>
      </w:r>
    </w:p>
    <w:bookmarkEnd w:id="14"/>
    <w:bookmarkEnd w:id="15"/>
    <w:bookmarkStart w:id="16" w:name="manuscript-metrics"/>
    <w:p>
      <w:pPr>
        <w:pStyle w:val="Heading2"/>
      </w:pPr>
      <w:r>
        <w:t xml:space="preserve">4. Manuscript Metrics</w:t>
      </w:r>
    </w:p>
    <w:p>
      <w:pPr>
        <w:pStyle w:val="Compact"/>
        <w:numPr>
          <w:ilvl w:val="0"/>
          <w:numId w:val="1003"/>
        </w:numPr>
      </w:pPr>
      <w:r>
        <w:rPr>
          <w:b/>
          <w:bCs/>
        </w:rPr>
        <w:t xml:space="preserve">Total Word Count</w:t>
      </w:r>
      <w:r>
        <w:t xml:space="preserve">: ~12,500 words (Unabridged Full Monograph Version)</w:t>
      </w:r>
    </w:p>
    <w:p>
      <w:pPr>
        <w:pStyle w:val="Compact"/>
        <w:numPr>
          <w:ilvl w:val="0"/>
          <w:numId w:val="1003"/>
        </w:numPr>
      </w:pPr>
      <w:r>
        <w:rPr>
          <w:b/>
          <w:bCs/>
        </w:rPr>
        <w:t xml:space="preserve">Total Line Count</w:t>
      </w:r>
      <w:r>
        <w:t xml:space="preserve">: 1,483 lines (TeX source)</w:t>
      </w:r>
    </w:p>
    <w:p>
      <w:pPr>
        <w:pStyle w:val="Compact"/>
        <w:numPr>
          <w:ilvl w:val="0"/>
          <w:numId w:val="1003"/>
        </w:numPr>
      </w:pPr>
      <w:r>
        <w:rPr>
          <w:b/>
          <w:bCs/>
        </w:rPr>
        <w:t xml:space="preserve">Number of Figures</w:t>
      </w:r>
      <w:r>
        <w:t xml:space="preserve">: 5 Main Structural/Topological Figures</w:t>
      </w:r>
    </w:p>
    <w:p>
      <w:pPr>
        <w:pStyle w:val="Compact"/>
        <w:numPr>
          <w:ilvl w:val="0"/>
          <w:numId w:val="1003"/>
        </w:numPr>
      </w:pPr>
      <w:r>
        <w:rPr>
          <w:b/>
          <w:bCs/>
        </w:rPr>
        <w:t xml:space="preserve">Number of Tables</w:t>
      </w:r>
      <w:r>
        <w:t xml:space="preserve">: 4 Comprehensive Comparative &amp; Empirical Matrices</w:t>
      </w:r>
    </w:p>
    <w:p>
      <w:pPr>
        <w:pStyle w:val="Compact"/>
        <w:numPr>
          <w:ilvl w:val="0"/>
          <w:numId w:val="1003"/>
        </w:numPr>
      </w:pPr>
      <w:r>
        <w:rPr>
          <w:b/>
          <w:bCs/>
        </w:rPr>
        <w:t xml:space="preserve">Number of References</w:t>
      </w:r>
      <w:r>
        <w:t xml:space="preserve">: 22 Formal Citations</w:t>
      </w:r>
    </w:p>
    <w:p>
      <w:r>
        <w:pict>
          <v:rect style="width:0;height:1.5pt" o:hralign="center" o:hrstd="t" o:hr="t"/>
        </w:pict>
      </w:r>
    </w:p>
    <w:bookmarkEnd w:id="16"/>
    <w:bookmarkStart w:id="22" w:name="declarations-institutional-statements"/>
    <w:p>
      <w:pPr>
        <w:pStyle w:val="Heading2"/>
      </w:pPr>
      <w:r>
        <w:t xml:space="preserve">5. Declarations &amp; Institutional Statements</w:t>
      </w:r>
    </w:p>
    <w:bookmarkStart w:id="17" w:name="a.-funding-financial-support"/>
    <w:p>
      <w:pPr>
        <w:pStyle w:val="Heading3"/>
      </w:pPr>
      <w:r>
        <w:t xml:space="preserve">A. Funding &amp; Financial Support</w:t>
      </w:r>
    </w:p>
    <w:p>
      <w:pPr>
        <w:pStyle w:val="FirstParagraph"/>
      </w:pPr>
      <w:r>
        <w:t xml:space="preserve">This research was conducted independently by the author at the Value Chain Physics &amp; Metacognition Cybernetics Laboratory. No third-party commercial funding or external grant sponsorship contributed to the conceptualization, analysis, or writing of this manuscript.</w:t>
      </w:r>
    </w:p>
    <w:bookmarkEnd w:id="17"/>
    <w:bookmarkStart w:id="18" w:name="b.-conflict-of-interest-statement"/>
    <w:p>
      <w:pPr>
        <w:pStyle w:val="Heading3"/>
      </w:pPr>
      <w:r>
        <w:t xml:space="preserve">B. Conflict of Interest Statement</w:t>
      </w:r>
    </w:p>
    <w:p>
      <w:pPr>
        <w:pStyle w:val="FirstParagraph"/>
      </w:pPr>
      <w:r>
        <w:t xml:space="preserve">The author declares that he has no known competing financial interests or personal relationships that could have appeared to influence the work reported in this paper.</w:t>
      </w:r>
    </w:p>
    <w:bookmarkEnd w:id="18"/>
    <w:bookmarkStart w:id="19" w:name="c.-ethics-approval-human-participants"/>
    <w:p>
      <w:pPr>
        <w:pStyle w:val="Heading3"/>
      </w:pPr>
      <w:r>
        <w:t xml:space="preserve">C. Ethics Approval &amp; Human Participants</w:t>
      </w:r>
    </w:p>
    <w:p>
      <w:pPr>
        <w:pStyle w:val="FirstParagraph"/>
      </w:pPr>
      <w:r>
        <w:t xml:space="preserve">Secondary analysis of neuroimaging data (fMRI/dFC) was conducted using open-access databases (OpenNeuro and Human Connectome Project). All original primary studies were approved by their respective institutional review boards (IRBs) and carried out in accordance with relevant guidelines and regulations with informed consent obtained from all subjects.</w:t>
      </w:r>
    </w:p>
    <w:bookmarkEnd w:id="19"/>
    <w:bookmarkStart w:id="20" w:name="d.-data-code-availability-statement"/>
    <w:p>
      <w:pPr>
        <w:pStyle w:val="Heading3"/>
      </w:pPr>
      <w:r>
        <w:t xml:space="preserve">D. Data &amp; Code Availability Statement</w:t>
      </w:r>
    </w:p>
    <w:p>
      <w:pPr>
        <w:pStyle w:val="FirstParagraph"/>
      </w:pPr>
      <w:r>
        <w:t xml:space="preserve">All mathematical derivations, simulation code, fMRI processing pipelines, and raw data analytical scripts used in this study are fully documented and will be made publicly available upon manuscript publication at the author’s repository (</w:t>
      </w:r>
      <w:hyperlink r:id="rId11">
        <w:r>
          <w:rPr>
            <w:rStyle w:val="Hyperlink"/>
          </w:rPr>
          <w:t xml:space="preserve">https://github.com/GritMeng/Value-Chain-Physics</w:t>
        </w:r>
      </w:hyperlink>
      <w:r>
        <w:t xml:space="preserve">).</w:t>
      </w:r>
    </w:p>
    <w:bookmarkEnd w:id="20"/>
    <w:bookmarkStart w:id="21" w:name="e.-author-contributions"/>
    <w:p>
      <w:pPr>
        <w:pStyle w:val="Heading3"/>
      </w:pPr>
      <w:r>
        <w:t xml:space="preserve">E. Author Contributions</w:t>
      </w:r>
    </w:p>
    <w:p>
      <w:pPr>
        <w:pStyle w:val="FirstParagraph"/>
      </w:pPr>
      <w:r>
        <w:rPr>
          <w:b/>
          <w:bCs/>
        </w:rPr>
        <w:t xml:space="preserve">Grit Meng (Fanchun Meng)</w:t>
      </w:r>
      <w:r>
        <w:t xml:space="preserve">: Conceptualization, Formal Mathematical Derivations, Second-Order Cybernetic Architecture Design, Neuroimaging Data Mining, Simulation Implementation, Original Draft Writing, and Final Editing.</w:t>
      </w:r>
    </w:p>
    <w:p>
      <w:r>
        <w:pict>
          <v:rect style="width:0;height:1.5pt" o:hralign="center" o:hrstd="t" o:hr="t"/>
        </w:pict>
      </w:r>
    </w:p>
    <w:bookmarkEnd w:id="21"/>
    <w:bookmarkEnd w:id="22"/>
    <w:bookmarkStart w:id="23" w:name="X7d08ec99d486bf97ec363202dcc14d0ad97431b"/>
    <w:p>
      <w:pPr>
        <w:pStyle w:val="Heading2"/>
      </w:pPr>
      <w:r>
        <w:t xml:space="preserve">6. Article Highlights (Research Bullet Points)</w:t>
      </w:r>
    </w:p>
    <w:p>
      <w:pPr>
        <w:pStyle w:val="Compact"/>
        <w:numPr>
          <w:ilvl w:val="0"/>
          <w:numId w:val="1004"/>
        </w:numPr>
      </w:pPr>
      <w:r>
        <w:rPr>
          <w:b/>
          <w:bCs/>
        </w:rPr>
        <w:t xml:space="preserve">New 5D Topological Framework</w:t>
      </w:r>
      <w:r>
        <w:t xml:space="preserve">: Introduces a compact invariant circle</w:t>
      </w:r>
      <w:r>
        <w:t xml:space="preserve"> </w:t>
      </w:r>
      <m:oMath>
        <m:sSup>
          <m:e>
            <m:r>
              <m:rPr>
                <m:scr m:val="double-struck"/>
                <m:sty m:val="p"/>
              </m:rPr>
              <m:t>S</m:t>
            </m:r>
          </m:e>
          <m:sup>
            <m:r>
              <m:t>1</m:t>
            </m:r>
          </m:sup>
        </m:sSup>
      </m:oMath>
      <w:r>
        <w:t xml:space="preserve"> </w:t>
      </w:r>
      <w:r>
        <w:t xml:space="preserve">into spacetime manifolds (</w:t>
      </w:r>
      <m:oMath>
        <m:sSup>
          <m:e>
            <m:r>
              <m:rPr>
                <m:scr m:val="double-struck"/>
                <m:sty m:val="p"/>
              </m:rPr>
              <m:t>R</m:t>
            </m:r>
          </m:e>
          <m:sup>
            <m:r>
              <m:t>3</m:t>
            </m:r>
          </m:sup>
        </m:sSup>
        <m:r>
          <m:rPr>
            <m:sty m:val="p"/>
          </m:rPr>
          <m:t>×</m:t>
        </m:r>
        <m:sSup>
          <m:e>
            <m:r>
              <m:rPr>
                <m:scr m:val="double-struck"/>
                <m:sty m:val="p"/>
              </m:rPr>
              <m:t>T</m:t>
            </m:r>
          </m:e>
          <m:sup>
            <m:r>
              <m:t>1</m:t>
            </m:r>
          </m:sup>
        </m:sSup>
        <m:r>
          <m:rPr>
            <m:sty m:val="p"/>
          </m:rPr>
          <m:t>×</m:t>
        </m:r>
        <m:sSup>
          <m:e>
            <m:r>
              <m:rPr>
                <m:scr m:val="double-struck"/>
                <m:sty m:val="p"/>
              </m:rPr>
              <m:t>S</m:t>
            </m:r>
          </m:e>
          <m:sup>
            <m:r>
              <m:t>1</m:t>
            </m:r>
          </m:sup>
        </m:sSup>
      </m:oMath>
      <w:r>
        <w:t xml:space="preserve">) for second-order cybernetic governance.</w:t>
      </w:r>
    </w:p>
    <w:p>
      <w:pPr>
        <w:pStyle w:val="Compact"/>
        <w:numPr>
          <w:ilvl w:val="0"/>
          <w:numId w:val="1004"/>
        </w:numPr>
      </w:pPr>
      <w:r>
        <w:rPr>
          <w:b/>
          <w:bCs/>
        </w:rPr>
        <w:t xml:space="preserve">Heavy-Tail Truncation Mechanics</w:t>
      </w:r>
      <w:r>
        <w:t xml:space="preserve">: Derives the residual entropy rate equation to mathematically prevent Goodhart heavy-tailed variance explosion (</w:t>
      </w:r>
      <m:oMath>
        <m:r>
          <m:t>α</m:t>
        </m:r>
        <m:r>
          <m:rPr>
            <m:sty m:val="p"/>
          </m:rPr>
          <m:t>&lt;</m:t>
        </m:r>
        <m:r>
          <m:t>2</m:t>
        </m:r>
      </m:oMath>
      <w:r>
        <w:t xml:space="preserve">).</w:t>
      </w:r>
    </w:p>
    <w:p>
      <w:pPr>
        <w:pStyle w:val="Compact"/>
        <w:numPr>
          <w:ilvl w:val="0"/>
          <w:numId w:val="1004"/>
        </w:numPr>
      </w:pPr>
      <w:r>
        <w:rPr>
          <w:b/>
          <w:bCs/>
        </w:rPr>
        <w:t xml:space="preserve">Gödelian Deadlock Resolution</w:t>
      </w:r>
      <w:r>
        <w:t xml:space="preserve">: Formulates the metacognitive rewriting operator</w:t>
      </w:r>
      <w:r>
        <w:t xml:space="preserve"> </w:t>
      </w:r>
      <m:oMath>
        <m:sSub>
          <m:e>
            <m:acc>
              <m:accPr>
                <m:chr m:val="̂"/>
              </m:accPr>
              <m:e>
                <m:r>
                  <m:rPr>
                    <m:sty m:val="p"/>
                  </m:rPr>
                  <m:t>Ω</m:t>
                </m:r>
              </m:e>
            </m:acc>
          </m:e>
          <m:sub>
            <m:r>
              <m:rPr>
                <m:nor/>
                <m:sty m:val="p"/>
              </m:rPr>
              <m:t>meta</m:t>
            </m:r>
          </m:sub>
        </m:sSub>
      </m:oMath>
      <w:r>
        <w:t xml:space="preserve"> </w:t>
      </w:r>
      <w:r>
        <w:t xml:space="preserve">executing paradigm jumps along Fisher-Rao geodesics.</w:t>
      </w:r>
    </w:p>
    <w:p>
      <w:pPr>
        <w:pStyle w:val="Compact"/>
        <w:numPr>
          <w:ilvl w:val="0"/>
          <w:numId w:val="1004"/>
        </w:numPr>
      </w:pPr>
      <w:r>
        <w:rPr>
          <w:b/>
          <w:bCs/>
        </w:rPr>
        <w:t xml:space="preserve">Empirical Dual Validation</w:t>
      </w:r>
      <w:r>
        <w:t xml:space="preserve">: Confirms</w:t>
      </w:r>
      <w:r>
        <w:t xml:space="preserve"> </w:t>
      </w:r>
      <m:oMath>
        <m:sSup>
          <m:e>
            <m:r>
              <m:rPr>
                <m:scr m:val="double-struck"/>
                <m:sty m:val="p"/>
              </m:rPr>
              <m:t>S</m:t>
            </m:r>
          </m:e>
          <m:sup>
            <m:r>
              <m:t>1</m:t>
            </m:r>
          </m:sup>
        </m:sSup>
      </m:oMath>
      <w:r>
        <w:t xml:space="preserve"> </w:t>
      </w:r>
      <w:r>
        <w:t xml:space="preserve">neural substrates via fMRI (</w:t>
      </w:r>
      <m:oMath>
        <m:r>
          <m:t>N</m:t>
        </m:r>
        <m:r>
          <m:rPr>
            <m:sty m:val="p"/>
          </m:rPr>
          <m:t>=</m:t>
        </m:r>
        <m:r>
          <m:t>48</m:t>
        </m:r>
      </m:oMath>
      <w:r>
        <w:t xml:space="preserve">, DMN/vLMPC/AI coupling) and demonstrates 94.7% OOD catastrophic failure reduction.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GritMeng/Value-Chain-Physics" TargetMode="External" /><Relationship Type="http://schemas.openxmlformats.org/officeDocument/2006/relationships/hyperlink" Id="rId10" Target="https://orcid.org/0009-0004-9840-9494"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GritMeng/Value-Chain-Physics" TargetMode="External" /><Relationship Type="http://schemas.openxmlformats.org/officeDocument/2006/relationships/hyperlink" Id="rId10" Target="https://orcid.org/0009-0004-9840-94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2026-09-12T20:24:27Z</dcterms:created>
  <dcterms:modified xsi:type="dcterms:W3CDTF">2026-09-12T20:24:27Z</dcterms:modified>
</cp:coreProperties>
</file>

<file path=docProps/custom.xml><?xml version="1.0" encoding="utf-8"?>
<Properties xmlns="http://schemas.openxmlformats.org/officeDocument/2006/custom-properties" xmlns:vt="http://schemas.openxmlformats.org/officeDocument/2006/docPropsVTypes"/>
</file>