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№65</w:t>
      </w:r>
    </w:p>
    <w:p>
      <w:pPr>
        <w:jc w:val="center"/>
      </w:pPr>
      <w:r>
        <w:rPr>
          <w:b w:val="true"/>
        </w:rPr>
        <w:t>24.02.2022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Хамбургер с филе </w:t>
            </w:r>
          </w:p>
        </w:tc>
        <w:tc>
          <w:p>
            <w:r>
              <w:t xml:space="preserve"> 150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02.02.2022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10022022 / 10.02.2022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ОУ "Юрий Гагарин", гр. Сливен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6174 АМ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2022-02-17T23:15:59Z</dcterms:created>
  <dc:creator>Apache POI</dc:creator>
</cp:coreProperties>
</file>