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A1A2E"/>
          <w:sz w:val="52"/>
          <w:szCs w:val="52"/>
        </w:rPr>
        <w:t xml:space="preserve">STICKMODEL</w:t>
      </w:r>
    </w:p>
    <w:p>
      <w:pPr>
        <w:spacing w:after="80" w:before="0"/>
      </w:pPr>
      <w:r>
        <w:rPr>
          <w:rFonts w:ascii="Arial" w:cs="Arial" w:eastAsia="Arial" w:hAnsi="Arial"/>
          <w:color w:val="4A9EE0"/>
          <w:sz w:val="28"/>
          <w:szCs w:val="28"/>
        </w:rPr>
        <w:t xml:space="preserve">Terms and Conditions of Service</w:t>
      </w:r>
    </w:p>
    <w:p>
      <w:pPr>
        <w:spacing w:after="360" w:before="0"/>
      </w:pPr>
      <w:r>
        <w:rPr>
          <w:rFonts w:ascii="Arial" w:cs="Arial" w:eastAsia="Arial" w:hAnsi="Arial"/>
          <w:color w:val="999999"/>
          <w:sz w:val="18"/>
          <w:szCs w:val="18"/>
        </w:rPr>
        <w:t xml:space="preserve">Effective Date: June 2026  |  Version 1.0</w:t>
      </w:r>
    </w:p>
    <w:p>
      <w:pPr>
        <w:spacing w:after="160" w:before="0"/>
        <w:jc w:val="both"/>
      </w:pPr>
      <w:r>
        <w:rPr>
          <w:rFonts w:ascii="Arial" w:cs="Arial" w:eastAsia="Arial" w:hAnsi="Arial"/>
          <w:color w:val="333333"/>
          <w:sz w:val="22"/>
          <w:szCs w:val="22"/>
        </w:rPr>
        <w:t xml:space="preserve">These Terms and Conditions ("Terms") govern your access to and use of the StickModel platform and services ("Service") operated by VeCube. By registering, uploading files, placing an order, or otherwise accessing the Service, you ("Client", "you", or "User") agree to be bound by these Terms. If you do not agree, you must not use the Service.</w:t>
      </w:r>
    </w:p>
    <w:p>
      <w:pPr>
        <w:spacing w:after="0" w:before="12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 About StickModel and VeCube</w:t>
      </w:r>
    </w:p>
    <w:p>
      <w:pPr>
        <w:spacing w:after="160" w:before="0"/>
        <w:jc w:val="both"/>
      </w:pPr>
      <w:r>
        <w:rPr>
          <w:rFonts w:ascii="Arial" w:cs="Arial" w:eastAsia="Arial" w:hAnsi="Arial"/>
          <w:color w:val="333333"/>
          <w:sz w:val="22"/>
          <w:szCs w:val="22"/>
        </w:rPr>
        <w:t xml:space="preserve">StickModel (stickmodel.com) is a brand, platform, and service wholly owned and operated by VeCube ("Company", "we", "us", or "our"). The name "StickModel", the domain stickmodel.com, and all associated branding, logos, and trademarks are the exclusive property of VeCube. Nothing in these Terms grants you any right, title, or interest in the StickModel brand or the stickmodel.com domain name.</w:t>
      </w:r>
    </w:p>
    <w:p>
      <w:pPr>
        <w:spacing w:after="160" w:before="0"/>
        <w:jc w:val="both"/>
      </w:pPr>
      <w:r>
        <w:rPr>
          <w:rFonts w:ascii="Arial" w:cs="Arial" w:eastAsia="Arial" w:hAnsi="Arial"/>
          <w:color w:val="333333"/>
          <w:sz w:val="22"/>
          <w:szCs w:val="22"/>
        </w:rPr>
        <w:t xml:space="preserve">VeCube is the contracting entity for all services delivered through the StickModel platform. Any references to "StickModel" in these Terms are references to VeCube operating under that brand.</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2. Description of Services</w:t>
      </w:r>
    </w:p>
    <w:p>
      <w:pPr>
        <w:spacing w:after="160" w:before="0"/>
        <w:jc w:val="both"/>
      </w:pPr>
      <w:r>
        <w:rPr>
          <w:rFonts w:ascii="Arial" w:cs="Arial" w:eastAsia="Arial" w:hAnsi="Arial"/>
          <w:color w:val="333333"/>
          <w:sz w:val="22"/>
          <w:szCs w:val="22"/>
        </w:rPr>
        <w:t xml:space="preserve">StickModel converts 2D structural drawings (PDF or CAD format) into 3D stick models (wireframe models), automated grid systems, Bill of Materials (BOM), member identification data, levels and elevations, and associated outputs (collectively, "Deliverables") for use in structural steel detailing workflows, including Tekla Structures and similar software.</w:t>
      </w:r>
    </w:p>
    <w:p>
      <w:pPr>
        <w:spacing w:after="160" w:before="0"/>
        <w:jc w:val="both"/>
      </w:pPr>
      <w:r>
        <w:rPr>
          <w:rFonts w:ascii="Arial" w:cs="Arial" w:eastAsia="Arial" w:hAnsi="Arial"/>
          <w:color w:val="333333"/>
          <w:sz w:val="22"/>
          <w:szCs w:val="22"/>
        </w:rPr>
        <w:t xml:space="preserve">The standard turnaround time is twenty-four (24) hours from the time of confirmed order and successful receipt of complete, legible input files. Turnaround times are targets and not contractual guarantees unless expressly confirmed in writing.</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3. Eligibility and Account Registration</w:t>
      </w:r>
    </w:p>
    <w:p>
      <w:pPr>
        <w:spacing w:after="160" w:before="0"/>
        <w:jc w:val="both"/>
      </w:pPr>
      <w:r>
        <w:rPr>
          <w:rFonts w:ascii="Arial" w:cs="Arial" w:eastAsia="Arial" w:hAnsi="Arial"/>
          <w:color w:val="333333"/>
          <w:sz w:val="22"/>
          <w:szCs w:val="22"/>
        </w:rPr>
        <w:t xml:space="preserve">The Service is intended for professional use by structural steel fabricators, detailers, estimators, and related engineering professionals. By using the Service, you represent and warrant that:</w:t>
      </w:r>
    </w:p>
    <w:p>
      <w:pPr>
        <w:pStyle w:val="ListParagraph"/>
        <w:numPr>
          <w:ilvl w:val="0"/>
          <w:numId w:val="2"/>
        </w:numPr>
        <w:spacing w:after="60" w:before="40"/>
      </w:pPr>
      <w:r>
        <w:rPr>
          <w:rFonts w:ascii="Arial" w:cs="Arial" w:eastAsia="Arial" w:hAnsi="Arial"/>
          <w:color w:val="333333"/>
          <w:sz w:val="22"/>
          <w:szCs w:val="22"/>
        </w:rPr>
        <w:t xml:space="preserve">You are at least 18 years of age.</w:t>
      </w:r>
    </w:p>
    <w:p>
      <w:pPr>
        <w:pStyle w:val="ListParagraph"/>
        <w:numPr>
          <w:ilvl w:val="0"/>
          <w:numId w:val="2"/>
        </w:numPr>
        <w:spacing w:after="60" w:before="40"/>
      </w:pPr>
      <w:r>
        <w:rPr>
          <w:rFonts w:ascii="Arial" w:cs="Arial" w:eastAsia="Arial" w:hAnsi="Arial"/>
          <w:color w:val="333333"/>
          <w:sz w:val="22"/>
          <w:szCs w:val="22"/>
        </w:rPr>
        <w:t xml:space="preserve">You are using the Service for professional or commercial purposes.</w:t>
      </w:r>
    </w:p>
    <w:p>
      <w:pPr>
        <w:pStyle w:val="ListParagraph"/>
        <w:numPr>
          <w:ilvl w:val="0"/>
          <w:numId w:val="2"/>
        </w:numPr>
        <w:spacing w:after="60" w:before="40"/>
      </w:pPr>
      <w:r>
        <w:rPr>
          <w:rFonts w:ascii="Arial" w:cs="Arial" w:eastAsia="Arial" w:hAnsi="Arial"/>
          <w:color w:val="333333"/>
          <w:sz w:val="22"/>
          <w:szCs w:val="22"/>
        </w:rPr>
        <w:t xml:space="preserve">The information you provide during registration is accurate and complete.</w:t>
      </w:r>
    </w:p>
    <w:p>
      <w:pPr>
        <w:pStyle w:val="ListParagraph"/>
        <w:numPr>
          <w:ilvl w:val="0"/>
          <w:numId w:val="2"/>
        </w:numPr>
        <w:spacing w:after="60" w:before="40"/>
      </w:pPr>
      <w:r>
        <w:rPr>
          <w:rFonts w:ascii="Arial" w:cs="Arial" w:eastAsia="Arial" w:hAnsi="Arial"/>
          <w:color w:val="333333"/>
          <w:sz w:val="22"/>
          <w:szCs w:val="22"/>
        </w:rPr>
        <w:t xml:space="preserve">You have the authority to bind your organisation to these Terms if acting on its behalf.</w:t>
      </w:r>
    </w:p>
    <w:p>
      <w:pPr>
        <w:spacing w:after="0" w:before="80"/>
      </w:pPr>
      <w:r>
        <w:t xml:space="preserve"/>
      </w:r>
    </w:p>
    <w:p>
      <w:pPr>
        <w:spacing w:after="160" w:before="0"/>
        <w:jc w:val="both"/>
      </w:pPr>
      <w:r>
        <w:rPr>
          <w:rFonts w:ascii="Arial" w:cs="Arial" w:eastAsia="Arial" w:hAnsi="Arial"/>
          <w:color w:val="333333"/>
          <w:sz w:val="22"/>
          <w:szCs w:val="22"/>
        </w:rPr>
        <w:t xml:space="preserve">You are responsible for maintaining the confidentiality of your account credentials and for all activity under your account.</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4. Client Responsibilities — Input Files</w:t>
      </w:r>
    </w:p>
    <w:p>
      <w:pPr>
        <w:pStyle w:val="Heading2"/>
        <w:spacing w:after="80" w:before="260"/>
      </w:pPr>
      <w:r>
        <w:rPr>
          <w:rFonts w:ascii="Arial" w:cs="Arial" w:eastAsia="Arial" w:hAnsi="Arial"/>
          <w:b/>
          <w:bCs/>
          <w:color w:val="1A1A2E"/>
          <w:sz w:val="23"/>
          <w:szCs w:val="23"/>
        </w:rPr>
        <w:t xml:space="preserve">4.1 Acceptable Inputs</w:t>
      </w:r>
    </w:p>
    <w:p>
      <w:pPr>
        <w:spacing w:after="160" w:before="0"/>
        <w:jc w:val="both"/>
      </w:pPr>
      <w:r>
        <w:rPr>
          <w:rFonts w:ascii="Arial" w:cs="Arial" w:eastAsia="Arial" w:hAnsi="Arial"/>
          <w:color w:val="333333"/>
          <w:sz w:val="22"/>
          <w:szCs w:val="22"/>
        </w:rPr>
        <w:t xml:space="preserve">You may upload 2D structural drawings in PDF or CAD format. Files must be legible, dimensioned, and structurally complete, including plan views, elevations, sections, and connection details as applicable.</w:t>
      </w:r>
    </w:p>
    <w:p>
      <w:pPr>
        <w:pStyle w:val="Heading2"/>
        <w:spacing w:after="80" w:before="260"/>
      </w:pPr>
      <w:r>
        <w:rPr>
          <w:rFonts w:ascii="Arial" w:cs="Arial" w:eastAsia="Arial" w:hAnsi="Arial"/>
          <w:b/>
          <w:bCs/>
          <w:color w:val="1A1A2E"/>
          <w:sz w:val="23"/>
          <w:szCs w:val="23"/>
        </w:rPr>
        <w:t xml:space="preserve">4.2 Your Obligations</w:t>
      </w:r>
    </w:p>
    <w:p>
      <w:pPr>
        <w:spacing w:after="160" w:before="0"/>
        <w:jc w:val="both"/>
      </w:pPr>
      <w:r>
        <w:rPr>
          <w:rFonts w:ascii="Arial" w:cs="Arial" w:eastAsia="Arial" w:hAnsi="Arial"/>
          <w:color w:val="333333"/>
          <w:sz w:val="22"/>
          <w:szCs w:val="22"/>
        </w:rPr>
        <w:t xml:space="preserve">You represent and warrant that:</w:t>
      </w:r>
    </w:p>
    <w:p>
      <w:pPr>
        <w:pStyle w:val="ListParagraph"/>
        <w:numPr>
          <w:ilvl w:val="0"/>
          <w:numId w:val="2"/>
        </w:numPr>
        <w:spacing w:after="60" w:before="40"/>
      </w:pPr>
      <w:r>
        <w:rPr>
          <w:rFonts w:ascii="Arial" w:cs="Arial" w:eastAsia="Arial" w:hAnsi="Arial"/>
          <w:color w:val="333333"/>
          <w:sz w:val="22"/>
          <w:szCs w:val="22"/>
        </w:rPr>
        <w:t xml:space="preserve">You own or are duly licensed to share all drawings and files uploaded to the Service.</w:t>
      </w:r>
    </w:p>
    <w:p>
      <w:pPr>
        <w:pStyle w:val="ListParagraph"/>
        <w:numPr>
          <w:ilvl w:val="0"/>
          <w:numId w:val="2"/>
        </w:numPr>
        <w:spacing w:after="60" w:before="40"/>
      </w:pPr>
      <w:r>
        <w:rPr>
          <w:rFonts w:ascii="Arial" w:cs="Arial" w:eastAsia="Arial" w:hAnsi="Arial"/>
          <w:color w:val="333333"/>
          <w:sz w:val="22"/>
          <w:szCs w:val="22"/>
        </w:rPr>
        <w:t xml:space="preserve">The drawings do not contain third-party confidential information you are not authorised to share.</w:t>
      </w:r>
    </w:p>
    <w:p>
      <w:pPr>
        <w:pStyle w:val="ListParagraph"/>
        <w:numPr>
          <w:ilvl w:val="0"/>
          <w:numId w:val="2"/>
        </w:numPr>
        <w:spacing w:after="60" w:before="40"/>
      </w:pPr>
      <w:r>
        <w:rPr>
          <w:rFonts w:ascii="Arial" w:cs="Arial" w:eastAsia="Arial" w:hAnsi="Arial"/>
          <w:color w:val="333333"/>
          <w:sz w:val="22"/>
          <w:szCs w:val="22"/>
        </w:rPr>
        <w:t xml:space="preserve">The drawings are accurate and not materially incomplete or misleading.</w:t>
      </w:r>
    </w:p>
    <w:p>
      <w:pPr>
        <w:pStyle w:val="ListParagraph"/>
        <w:numPr>
          <w:ilvl w:val="0"/>
          <w:numId w:val="2"/>
        </w:numPr>
        <w:spacing w:after="60" w:before="40"/>
      </w:pPr>
      <w:r>
        <w:rPr>
          <w:rFonts w:ascii="Arial" w:cs="Arial" w:eastAsia="Arial" w:hAnsi="Arial"/>
          <w:color w:val="333333"/>
          <w:sz w:val="22"/>
          <w:szCs w:val="22"/>
        </w:rPr>
        <w:t xml:space="preserve">You will promptly respond to any requests for clarification on ambiguous or incomplete input.</w:t>
      </w:r>
    </w:p>
    <w:p>
      <w:pPr>
        <w:spacing w:after="0" w:before="80"/>
      </w:pPr>
      <w:r>
        <w:t xml:space="preserve"/>
      </w:r>
    </w:p>
    <w:p>
      <w:pPr>
        <w:spacing w:after="160" w:before="0"/>
        <w:jc w:val="both"/>
      </w:pPr>
      <w:r>
        <w:rPr>
          <w:rFonts w:ascii="Arial" w:cs="Arial" w:eastAsia="Arial" w:hAnsi="Arial"/>
          <w:color w:val="333333"/>
          <w:sz w:val="22"/>
          <w:szCs w:val="22"/>
        </w:rPr>
        <w:t xml:space="preserve">We reserve the right to reject files that are illegible or structurally ambiguous. In such cases, we will notify you and offer a refund or resubmission opportunity.</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5. Fees, Payment, and Access to Deliverables</w:t>
      </w:r>
    </w:p>
    <w:p>
      <w:pPr>
        <w:spacing w:after="160" w:before="0"/>
        <w:jc w:val="both"/>
      </w:pPr>
      <w:r>
        <w:rPr>
          <w:rFonts w:ascii="Arial" w:cs="Arial" w:eastAsia="Arial" w:hAnsi="Arial"/>
          <w:color w:val="333333"/>
          <w:sz w:val="22"/>
          <w:szCs w:val="22"/>
        </w:rPr>
        <w:t xml:space="preserve">Fees for the Service are as set out at stickmodel.com/pricing or as separately agreed in writing. All prices are exclusive of applicable taxes unless stated otherwise.</w:t>
      </w:r>
    </w:p>
    <w:p>
      <w:pPr>
        <w:pStyle w:val="ListParagraph"/>
        <w:numPr>
          <w:ilvl w:val="0"/>
          <w:numId w:val="2"/>
        </w:numPr>
        <w:spacing w:after="60" w:before="40"/>
      </w:pPr>
      <w:r>
        <w:rPr>
          <w:rFonts w:ascii="Arial" w:cs="Arial" w:eastAsia="Arial" w:hAnsi="Arial"/>
          <w:color w:val="333333"/>
          <w:sz w:val="22"/>
          <w:szCs w:val="22"/>
        </w:rPr>
        <w:t xml:space="preserve">Payment is required in full before Deliverables are made available for download. Completed models will be held on our platform until payment is confirmed.</w:t>
      </w:r>
    </w:p>
    <w:p>
      <w:pPr>
        <w:pStyle w:val="ListParagraph"/>
        <w:numPr>
          <w:ilvl w:val="0"/>
          <w:numId w:val="2"/>
        </w:numPr>
        <w:spacing w:after="60" w:before="40"/>
      </w:pPr>
      <w:r>
        <w:rPr>
          <w:rFonts w:ascii="Arial" w:cs="Arial" w:eastAsia="Arial" w:hAnsi="Arial"/>
          <w:color w:val="333333"/>
          <w:sz w:val="22"/>
          <w:szCs w:val="22"/>
        </w:rPr>
        <w:t xml:space="preserve">Orders will not be commenced until payment is received and cleared, unless credit terms have been separately agreed in writing.</w:t>
      </w:r>
    </w:p>
    <w:p>
      <w:pPr>
        <w:pStyle w:val="ListParagraph"/>
        <w:numPr>
          <w:ilvl w:val="0"/>
          <w:numId w:val="2"/>
        </w:numPr>
        <w:spacing w:after="60" w:before="40"/>
      </w:pPr>
      <w:r>
        <w:rPr>
          <w:rFonts w:ascii="Arial" w:cs="Arial" w:eastAsia="Arial" w:hAnsi="Arial"/>
          <w:color w:val="333333"/>
          <w:sz w:val="22"/>
          <w:szCs w:val="22"/>
        </w:rPr>
        <w:t xml:space="preserve">We accept payment via the methods listed on our platform at the time of order.</w:t>
      </w:r>
    </w:p>
    <w:p>
      <w:pPr>
        <w:pStyle w:val="ListParagraph"/>
        <w:numPr>
          <w:ilvl w:val="0"/>
          <w:numId w:val="2"/>
        </w:numPr>
        <w:spacing w:after="60" w:before="40"/>
      </w:pPr>
      <w:r>
        <w:rPr>
          <w:rFonts w:ascii="Arial" w:cs="Arial" w:eastAsia="Arial" w:hAnsi="Arial"/>
          <w:color w:val="333333"/>
          <w:sz w:val="22"/>
          <w:szCs w:val="22"/>
        </w:rPr>
        <w:t xml:space="preserve">In the event of disputed invoices, you must notify us in writing within seven (7) days of the invoice date. Undisputed amounts remain due and payable.</w:t>
      </w:r>
    </w:p>
    <w:p>
      <w:pPr>
        <w:pStyle w:val="ListParagraph"/>
        <w:numPr>
          <w:ilvl w:val="0"/>
          <w:numId w:val="2"/>
        </w:numPr>
        <w:spacing w:after="60" w:before="40"/>
      </w:pPr>
      <w:r>
        <w:rPr>
          <w:rFonts w:ascii="Arial" w:cs="Arial" w:eastAsia="Arial" w:hAnsi="Arial"/>
          <w:color w:val="333333"/>
          <w:sz w:val="22"/>
          <w:szCs w:val="22"/>
        </w:rPr>
        <w:t xml:space="preserve">Failure to pay within the agreed timeframe may result in suspension of your account and forfeiture of Deliverables held on the platform.</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6. Deliverables and Accuracy</w:t>
      </w:r>
    </w:p>
    <w:p>
      <w:pPr>
        <w:pStyle w:val="Heading2"/>
        <w:spacing w:after="80" w:before="260"/>
      </w:pPr>
      <w:r>
        <w:rPr>
          <w:rFonts w:ascii="Arial" w:cs="Arial" w:eastAsia="Arial" w:hAnsi="Arial"/>
          <w:b/>
          <w:bCs/>
          <w:color w:val="1A1A2E"/>
          <w:sz w:val="23"/>
          <w:szCs w:val="23"/>
        </w:rPr>
        <w:t xml:space="preserve">6.1 Scope of Deliverables</w:t>
      </w:r>
    </w:p>
    <w:p>
      <w:pPr>
        <w:spacing w:after="160" w:before="0"/>
        <w:jc w:val="both"/>
      </w:pPr>
      <w:r>
        <w:rPr>
          <w:rFonts w:ascii="Arial" w:cs="Arial" w:eastAsia="Arial" w:hAnsi="Arial"/>
          <w:color w:val="333333"/>
          <w:sz w:val="22"/>
          <w:szCs w:val="22"/>
        </w:rPr>
        <w:t xml:space="preserve">Each completed order includes: a constructible 3D stick model (wireframe), automated grid and coordinate system, member identification and labelling, levels and elevations, and files in formats compatible with Tekla Structures (and IFC where applicable).</w:t>
      </w:r>
    </w:p>
    <w:p>
      <w:pPr>
        <w:pStyle w:val="Heading2"/>
        <w:spacing w:after="80" w:before="260"/>
      </w:pPr>
      <w:r>
        <w:rPr>
          <w:rFonts w:ascii="Arial" w:cs="Arial" w:eastAsia="Arial" w:hAnsi="Arial"/>
          <w:b/>
          <w:bCs/>
          <w:color w:val="1A1A2E"/>
          <w:sz w:val="23"/>
          <w:szCs w:val="23"/>
        </w:rPr>
        <w:t xml:space="preserve">6.2 Exclusions</w:t>
      </w:r>
    </w:p>
    <w:p>
      <w:pPr>
        <w:spacing w:after="160" w:before="0"/>
        <w:jc w:val="both"/>
      </w:pPr>
      <w:r>
        <w:rPr>
          <w:rFonts w:ascii="Arial" w:cs="Arial" w:eastAsia="Arial" w:hAnsi="Arial"/>
          <w:color w:val="333333"/>
          <w:sz w:val="22"/>
          <w:szCs w:val="22"/>
        </w:rPr>
        <w:t xml:space="preserve">The following are explicitly not included unless separately agreed in writing:</w:t>
      </w:r>
    </w:p>
    <w:p>
      <w:pPr>
        <w:pStyle w:val="ListParagraph"/>
        <w:numPr>
          <w:ilvl w:val="0"/>
          <w:numId w:val="2"/>
        </w:numPr>
        <w:spacing w:after="60" w:before="40"/>
      </w:pPr>
      <w:r>
        <w:rPr>
          <w:rFonts w:ascii="Arial" w:cs="Arial" w:eastAsia="Arial" w:hAnsi="Arial"/>
          <w:color w:val="333333"/>
          <w:sz w:val="22"/>
          <w:szCs w:val="22"/>
        </w:rPr>
        <w:t xml:space="preserve">Connection design or detailing.</w:t>
      </w:r>
    </w:p>
    <w:p>
      <w:pPr>
        <w:pStyle w:val="ListParagraph"/>
        <w:numPr>
          <w:ilvl w:val="0"/>
          <w:numId w:val="2"/>
        </w:numPr>
        <w:spacing w:after="60" w:before="40"/>
      </w:pPr>
      <w:r>
        <w:rPr>
          <w:rFonts w:ascii="Arial" w:cs="Arial" w:eastAsia="Arial" w:hAnsi="Arial"/>
          <w:color w:val="333333"/>
          <w:sz w:val="22"/>
          <w:szCs w:val="22"/>
        </w:rPr>
        <w:t xml:space="preserve">Structural engineering calculations or analysis.</w:t>
      </w:r>
    </w:p>
    <w:p>
      <w:pPr>
        <w:pStyle w:val="ListParagraph"/>
        <w:numPr>
          <w:ilvl w:val="0"/>
          <w:numId w:val="2"/>
        </w:numPr>
        <w:spacing w:after="60" w:before="40"/>
      </w:pPr>
      <w:r>
        <w:rPr>
          <w:rFonts w:ascii="Arial" w:cs="Arial" w:eastAsia="Arial" w:hAnsi="Arial"/>
          <w:color w:val="333333"/>
          <w:sz w:val="22"/>
          <w:szCs w:val="22"/>
        </w:rPr>
        <w:t xml:space="preserve">Compliance review against any building code or standard.</w:t>
      </w:r>
    </w:p>
    <w:p>
      <w:pPr>
        <w:pStyle w:val="ListParagraph"/>
        <w:numPr>
          <w:ilvl w:val="0"/>
          <w:numId w:val="2"/>
        </w:numPr>
        <w:spacing w:after="60" w:before="40"/>
      </w:pPr>
      <w:r>
        <w:rPr>
          <w:rFonts w:ascii="Arial" w:cs="Arial" w:eastAsia="Arial" w:hAnsi="Arial"/>
          <w:color w:val="333333"/>
          <w:sz w:val="22"/>
          <w:szCs w:val="22"/>
        </w:rPr>
        <w:t xml:space="preserve">Clash detection or multi-discipline BIM coordination.</w:t>
      </w:r>
    </w:p>
    <w:p>
      <w:pPr>
        <w:pStyle w:val="Heading2"/>
        <w:spacing w:after="80" w:before="260"/>
      </w:pPr>
      <w:r>
        <w:rPr>
          <w:rFonts w:ascii="Arial" w:cs="Arial" w:eastAsia="Arial" w:hAnsi="Arial"/>
          <w:b/>
          <w:bCs/>
          <w:color w:val="1A1A2E"/>
          <w:sz w:val="23"/>
          <w:szCs w:val="23"/>
        </w:rPr>
        <w:t xml:space="preserve">6.3 Client Review Obligation</w:t>
      </w:r>
    </w:p>
    <w:p>
      <w:pPr>
        <w:spacing w:after="160" w:before="0"/>
        <w:jc w:val="both"/>
      </w:pPr>
      <w:r>
        <w:rPr>
          <w:rFonts w:ascii="Arial" w:cs="Arial" w:eastAsia="Arial" w:hAnsi="Arial"/>
          <w:color w:val="333333"/>
          <w:sz w:val="22"/>
          <w:szCs w:val="22"/>
        </w:rPr>
        <w:t xml:space="preserve">You are responsible for reviewing all Deliverables before use in fabrication, detailing, or downstream engineering. A qualified structural engineer or senior detailer should review the model prior to use in production. By proceeding to fabrication or further detailing, you accept the Deliverables as-is.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7. Turnaround, Delivery, and Delays</w:t>
      </w:r>
    </w:p>
    <w:p>
      <w:pPr>
        <w:spacing w:after="160" w:before="0"/>
        <w:jc w:val="both"/>
      </w:pPr>
      <w:r>
        <w:rPr>
          <w:rFonts w:ascii="Arial" w:cs="Arial" w:eastAsia="Arial" w:hAnsi="Arial"/>
          <w:color w:val="333333"/>
          <w:sz w:val="22"/>
          <w:szCs w:val="22"/>
        </w:rPr>
        <w:t xml:space="preserve">We target delivery within 24 hours of confirmed receipt of complete and legible input files. We are not liable for delays caused by:</w:t>
      </w:r>
    </w:p>
    <w:p>
      <w:pPr>
        <w:pStyle w:val="ListParagraph"/>
        <w:numPr>
          <w:ilvl w:val="0"/>
          <w:numId w:val="2"/>
        </w:numPr>
        <w:spacing w:after="60" w:before="40"/>
      </w:pPr>
      <w:r>
        <w:rPr>
          <w:rFonts w:ascii="Arial" w:cs="Arial" w:eastAsia="Arial" w:hAnsi="Arial"/>
          <w:color w:val="333333"/>
          <w:sz w:val="22"/>
          <w:szCs w:val="22"/>
        </w:rPr>
        <w:t xml:space="preserve">Incomplete, ambiguous, or illegible input files.</w:t>
      </w:r>
    </w:p>
    <w:p>
      <w:pPr>
        <w:pStyle w:val="ListParagraph"/>
        <w:numPr>
          <w:ilvl w:val="0"/>
          <w:numId w:val="2"/>
        </w:numPr>
        <w:spacing w:after="60" w:before="40"/>
      </w:pPr>
      <w:r>
        <w:rPr>
          <w:rFonts w:ascii="Arial" w:cs="Arial" w:eastAsia="Arial" w:hAnsi="Arial"/>
          <w:color w:val="333333"/>
          <w:sz w:val="22"/>
          <w:szCs w:val="22"/>
        </w:rPr>
        <w:t xml:space="preserve">Unanswered requests for clarification.</w:t>
      </w:r>
    </w:p>
    <w:p>
      <w:pPr>
        <w:pStyle w:val="ListParagraph"/>
        <w:numPr>
          <w:ilvl w:val="0"/>
          <w:numId w:val="2"/>
        </w:numPr>
        <w:spacing w:after="60" w:before="40"/>
      </w:pPr>
      <w:r>
        <w:rPr>
          <w:rFonts w:ascii="Arial" w:cs="Arial" w:eastAsia="Arial" w:hAnsi="Arial"/>
          <w:color w:val="333333"/>
          <w:sz w:val="22"/>
          <w:szCs w:val="22"/>
        </w:rPr>
        <w:t xml:space="preserve">Force majeure events (see Section 13).</w:t>
      </w:r>
    </w:p>
    <w:p>
      <w:pPr>
        <w:pStyle w:val="ListParagraph"/>
        <w:numPr>
          <w:ilvl w:val="0"/>
          <w:numId w:val="2"/>
        </w:numPr>
        <w:spacing w:after="60" w:before="40"/>
      </w:pPr>
      <w:r>
        <w:rPr>
          <w:rFonts w:ascii="Arial" w:cs="Arial" w:eastAsia="Arial" w:hAnsi="Arial"/>
          <w:color w:val="333333"/>
          <w:sz w:val="22"/>
          <w:szCs w:val="22"/>
        </w:rPr>
        <w:t xml:space="preserve">Platform maintenance or technical outages communicated in advance.</w:t>
      </w:r>
    </w:p>
    <w:p>
      <w:pPr>
        <w:spacing w:after="0" w:before="80"/>
      </w:pPr>
      <w:r>
        <w:t xml:space="preserve"/>
      </w:r>
    </w:p>
    <w:p>
      <w:pPr>
        <w:spacing w:after="160" w:before="0"/>
        <w:jc w:val="both"/>
      </w:pPr>
      <w:r>
        <w:rPr>
          <w:rFonts w:ascii="Arial" w:cs="Arial" w:eastAsia="Arial" w:hAnsi="Arial"/>
          <w:color w:val="333333"/>
          <w:sz w:val="22"/>
          <w:szCs w:val="22"/>
        </w:rPr>
        <w:t xml:space="preserve">If we anticipate a delay beyond the standard turnaround, we will notify you promptly. Delay does not entitle you to a refund unless we have committed to a specific deadline in writing and have materially breached it.</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8. Intellectual Property</w:t>
      </w:r>
    </w:p>
    <w:p>
      <w:pPr>
        <w:pStyle w:val="Heading2"/>
        <w:spacing w:after="80" w:before="260"/>
      </w:pPr>
      <w:r>
        <w:rPr>
          <w:rFonts w:ascii="Arial" w:cs="Arial" w:eastAsia="Arial" w:hAnsi="Arial"/>
          <w:b/>
          <w:bCs/>
          <w:color w:val="1A1A2E"/>
          <w:sz w:val="23"/>
          <w:szCs w:val="23"/>
        </w:rPr>
        <w:t xml:space="preserve">8.1 Your Input Files</w:t>
      </w:r>
    </w:p>
    <w:p>
      <w:pPr>
        <w:spacing w:after="160" w:before="0"/>
        <w:jc w:val="both"/>
      </w:pPr>
      <w:r>
        <w:rPr>
          <w:rFonts w:ascii="Arial" w:cs="Arial" w:eastAsia="Arial" w:hAnsi="Arial"/>
          <w:color w:val="333333"/>
          <w:sz w:val="22"/>
          <w:szCs w:val="22"/>
        </w:rPr>
        <w:t xml:space="preserve">You retain all ownership rights in your drawings and uploaded documents. By uploading files, you grant StickModel (VeCube) a limited, non-exclusive, royalty-free licence to use and process your files solely for the purpose of delivering the Service.</w:t>
      </w:r>
    </w:p>
    <w:p>
      <w:pPr>
        <w:pStyle w:val="Heading2"/>
        <w:spacing w:after="80" w:before="260"/>
      </w:pPr>
      <w:r>
        <w:rPr>
          <w:rFonts w:ascii="Arial" w:cs="Arial" w:eastAsia="Arial" w:hAnsi="Arial"/>
          <w:b/>
          <w:bCs/>
          <w:color w:val="1A1A2E"/>
          <w:sz w:val="23"/>
          <w:szCs w:val="23"/>
        </w:rPr>
        <w:t xml:space="preserve">8.2 Deliverables</w:t>
      </w:r>
    </w:p>
    <w:p>
      <w:pPr>
        <w:spacing w:after="160" w:before="0"/>
        <w:jc w:val="both"/>
      </w:pPr>
      <w:r>
        <w:rPr>
          <w:rFonts w:ascii="Arial" w:cs="Arial" w:eastAsia="Arial" w:hAnsi="Arial"/>
          <w:color w:val="333333"/>
          <w:sz w:val="22"/>
          <w:szCs w:val="22"/>
        </w:rPr>
        <w:t xml:space="preserve">Upon full payment of all applicable fees, you receive a perpetual, non-exclusive licence to use the Deliverables for your internal professional purposes, including structural detailing, fabrication, and estimation. You may not resell, sublicence, or redistribute the Deliverables as a standalone product without our prior written consent.</w:t>
      </w:r>
    </w:p>
    <w:p>
      <w:pPr>
        <w:pStyle w:val="Heading2"/>
        <w:spacing w:after="80" w:before="260"/>
      </w:pPr>
      <w:r>
        <w:rPr>
          <w:rFonts w:ascii="Arial" w:cs="Arial" w:eastAsia="Arial" w:hAnsi="Arial"/>
          <w:b/>
          <w:bCs/>
          <w:color w:val="1A1A2E"/>
          <w:sz w:val="23"/>
          <w:szCs w:val="23"/>
        </w:rPr>
        <w:t xml:space="preserve">8.3 Platform, Brand, and Domain</w:t>
      </w:r>
    </w:p>
    <w:p>
      <w:pPr>
        <w:spacing w:after="160" w:before="0"/>
        <w:jc w:val="both"/>
      </w:pPr>
      <w:r>
        <w:rPr>
          <w:rFonts w:ascii="Arial" w:cs="Arial" w:eastAsia="Arial" w:hAnsi="Arial"/>
          <w:color w:val="333333"/>
          <w:sz w:val="22"/>
          <w:szCs w:val="22"/>
        </w:rPr>
        <w:t xml:space="preserve">All rights in the StickModel platform, the stickmodel.com domain name, VeCube's proprietary modelling systems, software, algorithms, workflows, and all associated branding and trademarks remain the exclusive property of VeCube. Nothing in these Terms transfers any such rights to you. Unauthorised use of the StickModel name, brand, or domain is strictly prohibited.</w:t>
      </w:r>
    </w:p>
    <w:p>
      <w:pPr>
        <w:pStyle w:val="Heading2"/>
        <w:spacing w:after="80" w:before="260"/>
      </w:pPr>
      <w:r>
        <w:rPr>
          <w:rFonts w:ascii="Arial" w:cs="Arial" w:eastAsia="Arial" w:hAnsi="Arial"/>
          <w:b/>
          <w:bCs/>
          <w:color w:val="1A1A2E"/>
          <w:sz w:val="23"/>
          <w:szCs w:val="23"/>
        </w:rPr>
        <w:t xml:space="preserve">8.4 Anonymised Data</w:t>
      </w:r>
    </w:p>
    <w:p>
      <w:pPr>
        <w:spacing w:after="160" w:before="0"/>
        <w:jc w:val="both"/>
      </w:pPr>
      <w:r>
        <w:rPr>
          <w:rFonts w:ascii="Arial" w:cs="Arial" w:eastAsia="Arial" w:hAnsi="Arial"/>
          <w:color w:val="333333"/>
          <w:sz w:val="22"/>
          <w:szCs w:val="22"/>
        </w:rPr>
        <w:t xml:space="preserve">We may use anonymised, aggregated, and de-identified usage data to improve our systems and publish performance benchmarks. No personally identifiable or project-specific information will be disclosed.</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9. Confidentiality</w:t>
      </w:r>
    </w:p>
    <w:p>
      <w:pPr>
        <w:spacing w:after="160" w:before="0"/>
        <w:jc w:val="both"/>
      </w:pPr>
      <w:r>
        <w:rPr>
          <w:rFonts w:ascii="Arial" w:cs="Arial" w:eastAsia="Arial" w:hAnsi="Arial"/>
          <w:color w:val="333333"/>
          <w:sz w:val="22"/>
          <w:szCs w:val="22"/>
        </w:rPr>
        <w:t xml:space="preserve">Each party agrees to treat as confidential all non-public information received from the other party. We will not disclose your project drawings or files to any third party except:</w:t>
      </w:r>
    </w:p>
    <w:p>
      <w:pPr>
        <w:pStyle w:val="ListParagraph"/>
        <w:numPr>
          <w:ilvl w:val="0"/>
          <w:numId w:val="2"/>
        </w:numPr>
        <w:spacing w:after="60" w:before="40"/>
      </w:pPr>
      <w:r>
        <w:rPr>
          <w:rFonts w:ascii="Arial" w:cs="Arial" w:eastAsia="Arial" w:hAnsi="Arial"/>
          <w:color w:val="333333"/>
          <w:sz w:val="22"/>
          <w:szCs w:val="22"/>
        </w:rPr>
        <w:t xml:space="preserve">To our employees or contractors who need access to perform the Service, under equivalent confidentiality obligations.</w:t>
      </w:r>
    </w:p>
    <w:p>
      <w:pPr>
        <w:pStyle w:val="ListParagraph"/>
        <w:numPr>
          <w:ilvl w:val="0"/>
          <w:numId w:val="2"/>
        </w:numPr>
        <w:spacing w:after="60" w:before="40"/>
      </w:pPr>
      <w:r>
        <w:rPr>
          <w:rFonts w:ascii="Arial" w:cs="Arial" w:eastAsia="Arial" w:hAnsi="Arial"/>
          <w:color w:val="333333"/>
          <w:sz w:val="22"/>
          <w:szCs w:val="22"/>
        </w:rPr>
        <w:t xml:space="preserve">As required by applicable law, regulation, or court order.</w:t>
      </w:r>
    </w:p>
    <w:p>
      <w:pPr>
        <w:pStyle w:val="ListParagraph"/>
        <w:numPr>
          <w:ilvl w:val="0"/>
          <w:numId w:val="2"/>
        </w:numPr>
        <w:spacing w:after="60" w:before="40"/>
      </w:pPr>
      <w:r>
        <w:rPr>
          <w:rFonts w:ascii="Arial" w:cs="Arial" w:eastAsia="Arial" w:hAnsi="Arial"/>
          <w:color w:val="333333"/>
          <w:sz w:val="22"/>
          <w:szCs w:val="22"/>
        </w:rPr>
        <w:t xml:space="preserve">With your prior written consent.</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10. Limitation of Liability</w:t>
      </w:r>
    </w:p>
    <w:p>
      <w:pPr>
        <w:spacing w:after="160" w:before="0"/>
        <w:jc w:val="both"/>
      </w:pPr>
      <w:r>
        <w:rPr>
          <w:rFonts w:ascii="Arial" w:cs="Arial" w:eastAsia="Arial" w:hAnsi="Arial"/>
          <w:color w:val="333333"/>
          <w:sz w:val="22"/>
          <w:szCs w:val="22"/>
        </w:rPr>
        <w:t xml:space="preserve">TO THE MAXIMUM EXTENT PERMITTED BY APPLICABLE LAW:</w:t>
      </w:r>
    </w:p>
    <w:p>
      <w:pPr>
        <w:pStyle w:val="ListParagraph"/>
        <w:numPr>
          <w:ilvl w:val="0"/>
          <w:numId w:val="2"/>
        </w:numPr>
        <w:spacing w:after="60" w:before="40"/>
      </w:pPr>
      <w:r>
        <w:rPr>
          <w:rFonts w:ascii="Arial" w:cs="Arial" w:eastAsia="Arial" w:hAnsi="Arial"/>
          <w:color w:val="333333"/>
          <w:sz w:val="22"/>
          <w:szCs w:val="22"/>
        </w:rPr>
        <w:t xml:space="preserve">We are not liable for any indirect, incidental, consequential, or punitive damages, including loss of profit, fabrication errors, or project delays arising from your use of the Deliverables.</w:t>
      </w:r>
    </w:p>
    <w:p>
      <w:pPr>
        <w:pStyle w:val="ListParagraph"/>
        <w:numPr>
          <w:ilvl w:val="0"/>
          <w:numId w:val="2"/>
        </w:numPr>
        <w:spacing w:after="60" w:before="40"/>
      </w:pPr>
      <w:r>
        <w:rPr>
          <w:rFonts w:ascii="Arial" w:cs="Arial" w:eastAsia="Arial" w:hAnsi="Arial"/>
          <w:color w:val="333333"/>
          <w:sz w:val="22"/>
          <w:szCs w:val="22"/>
        </w:rPr>
        <w:t xml:space="preserve">Our total aggregate liability shall not exceed the fees paid by you for the specific order giving rise to the claim.</w:t>
      </w:r>
    </w:p>
    <w:p>
      <w:pPr>
        <w:pStyle w:val="ListParagraph"/>
        <w:numPr>
          <w:ilvl w:val="0"/>
          <w:numId w:val="2"/>
        </w:numPr>
        <w:spacing w:after="60" w:before="40"/>
      </w:pPr>
      <w:r>
        <w:rPr>
          <w:rFonts w:ascii="Arial" w:cs="Arial" w:eastAsia="Arial" w:hAnsi="Arial"/>
          <w:color w:val="333333"/>
          <w:sz w:val="22"/>
          <w:szCs w:val="22"/>
        </w:rPr>
        <w:t xml:space="preserve">The Deliverables are geometric modelling aids and do not constitute structural engineering advice or certification. We do not accept liability for structural failures, engineering errors, or code non-compliance.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11. Indemnification</w:t>
      </w:r>
    </w:p>
    <w:p>
      <w:pPr>
        <w:spacing w:after="160" w:before="0"/>
        <w:jc w:val="both"/>
      </w:pPr>
      <w:r>
        <w:rPr>
          <w:rFonts w:ascii="Arial" w:cs="Arial" w:eastAsia="Arial" w:hAnsi="Arial"/>
          <w:color w:val="333333"/>
          <w:sz w:val="22"/>
          <w:szCs w:val="22"/>
        </w:rPr>
        <w:t xml:space="preserve">You agree to indemnify and hold harmless StickModel, VeCube, and their respective officers, employees, and contractors from and against any claims, damages, and costs arising from:</w:t>
      </w:r>
    </w:p>
    <w:p>
      <w:pPr>
        <w:pStyle w:val="ListParagraph"/>
        <w:numPr>
          <w:ilvl w:val="0"/>
          <w:numId w:val="2"/>
        </w:numPr>
        <w:spacing w:after="60" w:before="40"/>
      </w:pPr>
      <w:r>
        <w:rPr>
          <w:rFonts w:ascii="Arial" w:cs="Arial" w:eastAsia="Arial" w:hAnsi="Arial"/>
          <w:color w:val="333333"/>
          <w:sz w:val="22"/>
          <w:szCs w:val="22"/>
        </w:rPr>
        <w:t xml:space="preserve">Your use of the Deliverables, including reliance on them in fabrication without appropriate professional review.</w:t>
      </w:r>
    </w:p>
    <w:p>
      <w:pPr>
        <w:pStyle w:val="ListParagraph"/>
        <w:numPr>
          <w:ilvl w:val="0"/>
          <w:numId w:val="2"/>
        </w:numPr>
        <w:spacing w:after="60" w:before="40"/>
      </w:pPr>
      <w:r>
        <w:rPr>
          <w:rFonts w:ascii="Arial" w:cs="Arial" w:eastAsia="Arial" w:hAnsi="Arial"/>
          <w:color w:val="333333"/>
          <w:sz w:val="22"/>
          <w:szCs w:val="22"/>
        </w:rPr>
        <w:t xml:space="preserve">Your breach of these Terms.</w:t>
      </w:r>
    </w:p>
    <w:p>
      <w:pPr>
        <w:pStyle w:val="ListParagraph"/>
        <w:numPr>
          <w:ilvl w:val="0"/>
          <w:numId w:val="2"/>
        </w:numPr>
        <w:spacing w:after="60" w:before="40"/>
      </w:pPr>
      <w:r>
        <w:rPr>
          <w:rFonts w:ascii="Arial" w:cs="Arial" w:eastAsia="Arial" w:hAnsi="Arial"/>
          <w:color w:val="333333"/>
          <w:sz w:val="22"/>
          <w:szCs w:val="22"/>
        </w:rPr>
        <w:t xml:space="preserve">Any infringement of third-party intellectual property rights arising from your uploaded files.</w:t>
      </w:r>
    </w:p>
    <w:p>
      <w:pPr>
        <w:pStyle w:val="ListParagraph"/>
        <w:numPr>
          <w:ilvl w:val="0"/>
          <w:numId w:val="2"/>
        </w:numPr>
        <w:spacing w:after="60" w:before="40"/>
      </w:pPr>
      <w:r>
        <w:rPr>
          <w:rFonts w:ascii="Arial" w:cs="Arial" w:eastAsia="Arial" w:hAnsi="Arial"/>
          <w:color w:val="333333"/>
          <w:sz w:val="22"/>
          <w:szCs w:val="22"/>
        </w:rPr>
        <w:t xml:space="preserve">Any claim by your clients arising from errors in the underlying drawings you provided to us.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12. Revisions</w:t>
      </w:r>
    </w:p>
    <w:p>
      <w:pPr>
        <w:spacing w:after="160" w:before="0"/>
        <w:jc w:val="both"/>
      </w:pPr>
      <w:r>
        <w:rPr>
          <w:rFonts w:ascii="Arial" w:cs="Arial" w:eastAsia="Arial" w:hAnsi="Arial"/>
          <w:color w:val="333333"/>
          <w:sz w:val="22"/>
          <w:szCs w:val="22"/>
        </w:rPr>
        <w:t xml:space="preserve">If you believe a Deliverable contains an error attributable to our processing (not an error in your input drawings), you must notify us in writing within five (5) business days of delivery. If the error is attributable to us, we will provide a corrected Deliverable at no additional charge.</w:t>
      </w:r>
    </w:p>
    <w:p>
      <w:pPr>
        <w:spacing w:after="160" w:before="0"/>
        <w:jc w:val="both"/>
      </w:pPr>
      <w:r>
        <w:rPr>
          <w:rFonts w:ascii="Arial" w:cs="Arial" w:eastAsia="Arial" w:hAnsi="Arial"/>
          <w:color w:val="333333"/>
          <w:sz w:val="22"/>
          <w:szCs w:val="22"/>
        </w:rPr>
        <w:t xml:space="preserve">Revisions due to design changes or new information not present in the original drawings will be treated as new orders.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13. Force Majeure</w:t>
      </w:r>
    </w:p>
    <w:p>
      <w:pPr>
        <w:spacing w:after="160" w:before="0"/>
        <w:jc w:val="both"/>
      </w:pPr>
      <w:r>
        <w:rPr>
          <w:rFonts w:ascii="Arial" w:cs="Arial" w:eastAsia="Arial" w:hAnsi="Arial"/>
          <w:color w:val="333333"/>
          <w:sz w:val="22"/>
          <w:szCs w:val="22"/>
        </w:rPr>
        <w:t xml:space="preserve">We shall not be liable for failure or delay caused by circumstances beyond our reasonable control, including acts of God, natural disasters, war, cyber-attacks, power failures, or government actions.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14. Termination</w:t>
      </w:r>
    </w:p>
    <w:p>
      <w:pPr>
        <w:spacing w:after="160" w:before="0"/>
        <w:jc w:val="both"/>
      </w:pPr>
      <w:r>
        <w:rPr>
          <w:rFonts w:ascii="Arial" w:cs="Arial" w:eastAsia="Arial" w:hAnsi="Arial"/>
          <w:color w:val="333333"/>
          <w:sz w:val="22"/>
          <w:szCs w:val="22"/>
        </w:rPr>
        <w:t xml:space="preserve">We may suspend or terminate your access if you breach these Terms, if we suspect fraudulent or unlawful activity, or if we discontinue the Service with reasonable notice. Sections 8, 9, 10, 11, and 16 survive termination.</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15. Modifications to These Terms</w:t>
      </w:r>
    </w:p>
    <w:p>
      <w:pPr>
        <w:spacing w:after="160" w:before="0"/>
        <w:jc w:val="both"/>
      </w:pPr>
      <w:r>
        <w:rPr>
          <w:rFonts w:ascii="Arial" w:cs="Arial" w:eastAsia="Arial" w:hAnsi="Arial"/>
          <w:color w:val="333333"/>
          <w:sz w:val="22"/>
          <w:szCs w:val="22"/>
        </w:rPr>
        <w:t xml:space="preserve">We may update these Terms at any time with reasonable notice by email or platform notice. Continued use of the Service after the effective date of any update constitutes acceptance of the revised Terms.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16. Governing Law and Dispute Resolution</w:t>
      </w:r>
    </w:p>
    <w:p>
      <w:pPr>
        <w:spacing w:after="160" w:before="0"/>
        <w:jc w:val="both"/>
      </w:pPr>
      <w:r>
        <w:rPr>
          <w:rFonts w:ascii="Arial" w:cs="Arial" w:eastAsia="Arial" w:hAnsi="Arial"/>
          <w:color w:val="333333"/>
          <w:sz w:val="22"/>
          <w:szCs w:val="22"/>
        </w:rPr>
        <w:t xml:space="preserve">These Terms are governed by the laws of India. Disputes shall be submitted to the exclusive jurisdiction of the courts of Mumbai, Maharashtra. You agree to attempt informal resolution by contacting us before commencing formal proceedings.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17. General Provisions</w:t>
      </w:r>
    </w:p>
    <w:p>
      <w:pPr>
        <w:pStyle w:val="ListParagraph"/>
        <w:numPr>
          <w:ilvl w:val="0"/>
          <w:numId w:val="2"/>
        </w:numPr>
        <w:spacing w:after="60" w:before="40"/>
      </w:pPr>
      <w:r>
        <w:rPr>
          <w:rFonts w:ascii="Arial" w:cs="Arial" w:eastAsia="Arial" w:hAnsi="Arial"/>
          <w:color w:val="333333"/>
          <w:sz w:val="22"/>
          <w:szCs w:val="22"/>
        </w:rPr>
        <w:t xml:space="preserve">Entire Agreement: These Terms constitute the entire agreement between you and StickModel (VeCube) regarding the Service.</w:t>
      </w:r>
    </w:p>
    <w:p>
      <w:pPr>
        <w:pStyle w:val="ListParagraph"/>
        <w:numPr>
          <w:ilvl w:val="0"/>
          <w:numId w:val="2"/>
        </w:numPr>
        <w:spacing w:after="60" w:before="40"/>
      </w:pPr>
      <w:r>
        <w:rPr>
          <w:rFonts w:ascii="Arial" w:cs="Arial" w:eastAsia="Arial" w:hAnsi="Arial"/>
          <w:color w:val="333333"/>
          <w:sz w:val="22"/>
          <w:szCs w:val="22"/>
        </w:rPr>
        <w:t xml:space="preserve">Severability: If any provision is found unenforceable, the remaining provisions continue in full force.</w:t>
      </w:r>
    </w:p>
    <w:p>
      <w:pPr>
        <w:pStyle w:val="ListParagraph"/>
        <w:numPr>
          <w:ilvl w:val="0"/>
          <w:numId w:val="2"/>
        </w:numPr>
        <w:spacing w:after="60" w:before="40"/>
      </w:pPr>
      <w:r>
        <w:rPr>
          <w:rFonts w:ascii="Arial" w:cs="Arial" w:eastAsia="Arial" w:hAnsi="Arial"/>
          <w:color w:val="333333"/>
          <w:sz w:val="22"/>
          <w:szCs w:val="22"/>
        </w:rPr>
        <w:t xml:space="preserve">Waiver: Our failure to enforce any provision does not constitute a waiver of that provision.</w:t>
      </w:r>
    </w:p>
    <w:p>
      <w:pPr>
        <w:pStyle w:val="ListParagraph"/>
        <w:numPr>
          <w:ilvl w:val="0"/>
          <w:numId w:val="2"/>
        </w:numPr>
        <w:spacing w:after="60" w:before="40"/>
      </w:pPr>
      <w:r>
        <w:rPr>
          <w:rFonts w:ascii="Arial" w:cs="Arial" w:eastAsia="Arial" w:hAnsi="Arial"/>
          <w:color w:val="333333"/>
          <w:sz w:val="22"/>
          <w:szCs w:val="22"/>
        </w:rPr>
        <w:t xml:space="preserve">Assignment: You may not assign your rights without our prior written consent.</w:t>
      </w:r>
    </w:p>
    <w:p>
      <w:pPr>
        <w:pStyle w:val="ListParagraph"/>
        <w:numPr>
          <w:ilvl w:val="0"/>
          <w:numId w:val="2"/>
        </w:numPr>
        <w:spacing w:after="60" w:before="40"/>
      </w:pPr>
      <w:r>
        <w:rPr>
          <w:rFonts w:ascii="Arial" w:cs="Arial" w:eastAsia="Arial" w:hAnsi="Arial"/>
          <w:color w:val="333333"/>
          <w:sz w:val="22"/>
          <w:szCs w:val="22"/>
        </w:rPr>
        <w:t xml:space="preserve">No Agency: Nothing herein creates any partnership, joint venture, or agency between the parties.</w:t>
      </w:r>
    </w:p>
    <w:p>
      <w:pPr>
        <w:spacing w:after="0" w:before="16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Contact Us</w:t>
      </w:r>
    </w:p>
    <w:p>
      <w:pPr>
        <w:spacing w:after="160" w:before="0"/>
        <w:jc w:val="both"/>
      </w:pPr>
      <w:r>
        <w:rPr>
          <w:rFonts w:ascii="Arial" w:cs="Arial" w:eastAsia="Arial" w:hAnsi="Arial"/>
          <w:color w:val="333333"/>
          <w:sz w:val="22"/>
          <w:szCs w:val="22"/>
        </w:rPr>
        <w:t xml:space="preserve">For any questions relating to this policy, please reach out:</w:t>
      </w:r>
    </w:p>
    <w:p>
      <w:pPr>
        <w:spacing w:after="0" w:before="60"/>
      </w:pPr>
      <w:r>
        <w:t xml:space="preserve"/>
      </w:r>
    </w:p>
    <w:p>
      <w:pPr>
        <w:spacing w:after="60" w:before="80"/>
      </w:pPr>
      <w:r>
        <w:rPr>
          <w:rFonts w:ascii="Arial" w:cs="Arial" w:eastAsia="Arial" w:hAnsi="Arial"/>
          <w:b/>
          <w:bCs/>
          <w:color w:val="1A1A2E"/>
          <w:sz w:val="22"/>
          <w:szCs w:val="22"/>
        </w:rPr>
        <w:t xml:space="preserve">StickModel — a service of VeCube</w:t>
      </w:r>
    </w:p>
    <w:p>
      <w:pPr>
        <w:spacing w:after="160" w:before="0"/>
        <w:jc w:val="both"/>
      </w:pPr>
      <w:r>
        <w:rPr>
          <w:rFonts w:ascii="Arial" w:cs="Arial" w:eastAsia="Arial" w:hAnsi="Arial"/>
          <w:color w:val="333333"/>
          <w:sz w:val="22"/>
          <w:szCs w:val="22"/>
        </w:rPr>
        <w:t xml:space="preserve">Website: stickmodel.com</w:t>
      </w:r>
    </w:p>
    <w:p>
      <w:pPr>
        <w:spacing w:after="160" w:before="0"/>
        <w:jc w:val="both"/>
      </w:pPr>
      <w:r>
        <w:rPr>
          <w:rFonts w:ascii="Arial" w:cs="Arial" w:eastAsia="Arial" w:hAnsi="Arial"/>
          <w:color w:val="333333"/>
          <w:sz w:val="22"/>
          <w:szCs w:val="22"/>
        </w:rPr>
        <w:t xml:space="preserve">Contact form: stickmodel.com/contact</w:t>
      </w:r>
    </w:p>
    <w:p>
      <w:pPr>
        <w:spacing w:after="160" w:before="0"/>
        <w:jc w:val="both"/>
      </w:pPr>
      <w:r>
        <w:rPr>
          <w:rFonts w:ascii="Arial" w:cs="Arial" w:eastAsia="Arial" w:hAnsi="Arial"/>
          <w:color w:val="333333"/>
          <w:sz w:val="22"/>
          <w:szCs w:val="22"/>
        </w:rPr>
        <w:t xml:space="preserve">LinkedIn: linkedin.com/company/stick-model</w:t>
      </w:r>
    </w:p>
    <w:p>
      <w:pPr>
        <w:pBdr>
          <w:top w:val="single" w:color="DDDDDD" w:sz="2" w:space="8"/>
        </w:pBdr>
        <w:spacing w:before="200"/>
        <w:jc w:val="center"/>
      </w:pPr>
      <w:r>
        <w:rPr>
          <w:rFonts w:ascii="Arial" w:cs="Arial" w:eastAsia="Arial" w:hAnsi="Arial"/>
          <w:i/>
          <w:iCs/>
          <w:color w:val="555555"/>
          <w:sz w:val="20"/>
          <w:szCs w:val="20"/>
        </w:rPr>
        <w:t xml:space="preserve">By using StickModel, you acknowledge that you have read and agreed to this Terms and Conditions of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120"/>
    </w:pPr>
    <w:r>
      <w:rPr>
        <w:rFonts w:ascii="Arial" w:cs="Arial" w:eastAsia="Arial" w:hAnsi="Arial"/>
        <w:color w:val="999999"/>
        <w:sz w:val="18"/>
        <w:szCs w:val="18"/>
      </w:rPr>
      <w:t xml:space="preserve">stickmodel.com  |  A service of VeCube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E0" w:sz="4" w:space="4"/>
      </w:pBdr>
      <w:spacing w:after="200"/>
    </w:pPr>
    <w:r>
      <w:rPr>
        <w:rFonts w:ascii="Arial" w:cs="Arial" w:eastAsia="Arial" w:hAnsi="Arial"/>
        <w:b/>
        <w:bCs/>
        <w:color w:val="1A1A2E"/>
        <w:sz w:val="20"/>
        <w:szCs w:val="20"/>
      </w:rPr>
      <w:t xml:space="preserve">StickModel</w:t>
    </w:r>
    <w:r>
      <w:rPr>
        <w:rFonts w:ascii="Arial" w:cs="Arial" w:eastAsia="Arial" w:hAnsi="Arial"/>
        <w:color w:val="888888"/>
        <w:sz w:val="18"/>
        <w:szCs w:val="18"/>
      </w:rPr>
      <w:t xml:space="preserve">  |  Terms and Conditions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2026-06-04T06:59:27.503Z</dcterms:created>
  <dcterms:modified xsi:type="dcterms:W3CDTF">2026-06-04T06:59:27.503Z</dcterms:modified>
</cp:coreProperties>
</file>

<file path=docProps/custom.xml><?xml version="1.0" encoding="utf-8"?>
<Properties xmlns="http://schemas.openxmlformats.org/officeDocument/2006/custom-properties" xmlns:vt="http://schemas.openxmlformats.org/officeDocument/2006/docPropsVTypes"/>
</file>