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480B" w14:paraId="7B106E13" w14:textId="77777777">
        <w:tblPrEx>
          <w:tblCellMar>
            <w:top w:w="0" w:type="dxa"/>
            <w:bottom w:w="0" w:type="dxa"/>
          </w:tblCellMar>
        </w:tblPrEx>
        <w:tc>
          <w:tcPr>
            <w:tcW w:w="9360" w:type="dxa"/>
            <w:tcBorders>
              <w:top w:val="single" w:sz="1" w:space="0" w:color="D9D2E0"/>
              <w:left w:val="single" w:sz="14" w:space="0" w:color="9A6B00"/>
              <w:bottom w:val="single" w:sz="1" w:space="0" w:color="D9D2E0"/>
              <w:right w:val="single" w:sz="1" w:space="0" w:color="D9D2E0"/>
            </w:tcBorders>
            <w:shd w:val="clear" w:color="auto" w:fill="F7F4EF"/>
            <w:tcMar>
              <w:top w:w="90" w:type="dxa"/>
              <w:left w:w="180" w:type="dxa"/>
              <w:bottom w:w="90" w:type="dxa"/>
              <w:right w:w="140" w:type="dxa"/>
            </w:tcMar>
          </w:tcPr>
          <w:p w14:paraId="2C8B678E" w14:textId="77777777" w:rsidR="0038480B" w:rsidRDefault="00000000">
            <w:r>
              <w:rPr>
                <w:b/>
                <w:bCs/>
                <w:color w:val="9A6B00"/>
                <w:sz w:val="16"/>
                <w:szCs w:val="16"/>
              </w:rPr>
              <w:t xml:space="preserve">READY-TO-POST LINKEDIN ARTICLE.  </w:t>
            </w:r>
            <w:r>
              <w:rPr>
                <w:color w:val="5C5C6B"/>
                <w:sz w:val="16"/>
                <w:szCs w:val="16"/>
              </w:rPr>
              <w:t>Paste the title, upload the header image, then paste the body. Hashtags and a short hook are at the end.</w:t>
            </w:r>
          </w:p>
        </w:tc>
      </w:tr>
    </w:tbl>
    <w:p w14:paraId="405BD7A6" w14:textId="77777777" w:rsidR="0038480B" w:rsidRDefault="0038480B">
      <w:pPr>
        <w:spacing w:after="120"/>
      </w:pPr>
    </w:p>
    <w:p w14:paraId="1E6CC1D1" w14:textId="13898CDF" w:rsidR="0038480B" w:rsidRDefault="007938CC">
      <w:pPr>
        <w:spacing w:after="60"/>
        <w:jc w:val="center"/>
      </w:pPr>
      <w:r>
        <w:rPr>
          <w:noProof/>
        </w:rPr>
        <w:drawing>
          <wp:inline distT="0" distB="0" distL="0" distR="0" wp14:anchorId="6551C49E" wp14:editId="21E0D5B1">
            <wp:extent cx="5943600" cy="3962400"/>
            <wp:effectExtent l="0" t="0" r="0" b="0"/>
            <wp:docPr id="172468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D541F7B" w14:textId="77777777" w:rsidR="0038480B" w:rsidRDefault="00000000">
      <w:pPr>
        <w:spacing w:after="220"/>
        <w:jc w:val="center"/>
      </w:pPr>
      <w:r>
        <w:rPr>
          <w:color w:val="5C5C6B"/>
          <w:sz w:val="16"/>
          <w:szCs w:val="16"/>
        </w:rPr>
        <w:t>One governed layer of meaning — from the shelf and the checkout to every dashboard and AI agent.</w:t>
      </w:r>
    </w:p>
    <w:p w14:paraId="2F488023" w14:textId="77777777" w:rsidR="0038480B" w:rsidRDefault="00000000">
      <w:pPr>
        <w:spacing w:after="60"/>
      </w:pPr>
      <w:r>
        <w:rPr>
          <w:b/>
          <w:bCs/>
          <w:color w:val="24346B"/>
          <w:sz w:val="38"/>
          <w:szCs w:val="38"/>
        </w:rPr>
        <w:t>Do Retailers Really Need an “Ontology”? Cutting Through the Context-Layer Hype</w:t>
      </w:r>
    </w:p>
    <w:p w14:paraId="0B687903" w14:textId="77777777" w:rsidR="0038480B" w:rsidRDefault="00000000">
      <w:pPr>
        <w:spacing w:after="200"/>
      </w:pPr>
      <w:r>
        <w:rPr>
          <w:sz w:val="23"/>
          <w:szCs w:val="23"/>
        </w:rPr>
        <w:t>Snowflake, Databricks, Microsoft, dbt — and now every consultant — says you need a “context layer” or an “ontology.” It has become the buzzword of the year. Here’s what a retailer actually needs, when a real ontology earns its place, and how to tell the difference before you overspend.</w:t>
      </w:r>
    </w:p>
    <w:p w14:paraId="41F727B4" w14:textId="77777777" w:rsidR="0038480B" w:rsidRDefault="00000000">
      <w:pPr>
        <w:spacing w:after="140" w:line="268" w:lineRule="auto"/>
      </w:pPr>
      <w:r>
        <w:rPr>
          <w:b/>
          <w:bCs/>
        </w:rPr>
        <w:t xml:space="preserve">Ask Merchandising and Finance for last quarter’s “gross margin” and you’ll often get two different numbers — from the same POS data. </w:t>
      </w:r>
      <w:r>
        <w:t>Nobody made a mistake. Each team quietly encoded its own version of the metric into a dashboard, a spreadsheet, or a BI model. Now point an AI agent at those same raw tables and ask “which remodeled stores lifted loyalty-member basket size last quarter?” — and you don’t get a slow answer. You get a confident wrong one.</w:t>
      </w:r>
    </w:p>
    <w:p w14:paraId="41BB0666" w14:textId="77777777" w:rsidR="0038480B" w:rsidRDefault="00000000">
      <w:pPr>
        <w:spacing w:after="140" w:line="268" w:lineRule="auto"/>
      </w:pPr>
      <w:r>
        <w:t xml:space="preserve">So the whole industry is racing to build the same thing: </w:t>
      </w:r>
      <w:r>
        <w:rPr>
          <w:b/>
          <w:bCs/>
        </w:rPr>
        <w:t>one governed layer of meaning that serves both BI dashboards and AI agents.</w:t>
      </w:r>
      <w:r>
        <w:t xml:space="preserve"> The trouble is the vocabulary. “Semantic layer,” “context layer,” “ontology,” “knowledge graph” — every vendor and SI markets it differently, and it’s genuinely hard to tell which one a retailer needs. Let me make it simple, with retail examples throughout.</w:t>
      </w:r>
    </w:p>
    <w:p w14:paraId="3EF14102" w14:textId="77777777" w:rsidR="0038480B" w:rsidRDefault="00000000">
      <w:pPr>
        <w:pStyle w:val="Heading1"/>
      </w:pPr>
      <w:r>
        <w:t>Part 1 · The word “ontology” is doing two very different jobs</w:t>
      </w:r>
    </w:p>
    <w:p w14:paraId="4857CE48" w14:textId="77777777" w:rsidR="0038480B" w:rsidRDefault="00000000">
      <w:pPr>
        <w:spacing w:after="140" w:line="268" w:lineRule="auto"/>
      </w:pPr>
      <w:r>
        <w:lastRenderedPageBreak/>
        <w:t>Most of the confusion dissolves the moment you separate two things vendors deliberately blur into one 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30"/>
        <w:gridCol w:w="3630"/>
      </w:tblGrid>
      <w:tr w:rsidR="0038480B" w14:paraId="06229CD9" w14:textId="77777777">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24346B"/>
            <w:tcMar>
              <w:top w:w="60" w:type="dxa"/>
              <w:left w:w="100" w:type="dxa"/>
              <w:bottom w:w="60" w:type="dxa"/>
              <w:right w:w="100" w:type="dxa"/>
            </w:tcMar>
          </w:tcPr>
          <w:p w14:paraId="6B9170DA" w14:textId="77777777" w:rsidR="0038480B" w:rsidRDefault="0038480B">
            <w:pPr>
              <w:spacing w:line="248" w:lineRule="auto"/>
            </w:pPr>
          </w:p>
        </w:tc>
        <w:tc>
          <w:tcPr>
            <w:tcW w:w="3630" w:type="dxa"/>
            <w:tcBorders>
              <w:top w:val="single" w:sz="1" w:space="0" w:color="CCCCCC"/>
              <w:left w:val="single" w:sz="1" w:space="0" w:color="CCCCCC"/>
              <w:bottom w:val="single" w:sz="1" w:space="0" w:color="CCCCCC"/>
              <w:right w:val="single" w:sz="1" w:space="0" w:color="CCCCCC"/>
            </w:tcBorders>
            <w:shd w:val="clear" w:color="auto" w:fill="24346B"/>
            <w:tcMar>
              <w:top w:w="60" w:type="dxa"/>
              <w:left w:w="100" w:type="dxa"/>
              <w:bottom w:w="60" w:type="dxa"/>
              <w:right w:w="100" w:type="dxa"/>
            </w:tcMar>
          </w:tcPr>
          <w:p w14:paraId="45A34D16" w14:textId="77777777" w:rsidR="0038480B" w:rsidRDefault="00000000">
            <w:pPr>
              <w:spacing w:line="248" w:lineRule="auto"/>
            </w:pPr>
            <w:r>
              <w:rPr>
                <w:b/>
                <w:bCs/>
                <w:color w:val="FFFFFF"/>
                <w:sz w:val="18"/>
                <w:szCs w:val="18"/>
              </w:rPr>
              <w:t>Analytics semantics (the metric/semantic layer)</w:t>
            </w:r>
          </w:p>
        </w:tc>
        <w:tc>
          <w:tcPr>
            <w:tcW w:w="3630" w:type="dxa"/>
            <w:tcBorders>
              <w:top w:val="single" w:sz="1" w:space="0" w:color="CCCCCC"/>
              <w:left w:val="single" w:sz="1" w:space="0" w:color="CCCCCC"/>
              <w:bottom w:val="single" w:sz="1" w:space="0" w:color="CCCCCC"/>
              <w:right w:val="single" w:sz="1" w:space="0" w:color="CCCCCC"/>
            </w:tcBorders>
            <w:shd w:val="clear" w:color="auto" w:fill="24346B"/>
            <w:tcMar>
              <w:top w:w="60" w:type="dxa"/>
              <w:left w:w="100" w:type="dxa"/>
              <w:bottom w:w="60" w:type="dxa"/>
              <w:right w:w="100" w:type="dxa"/>
            </w:tcMar>
          </w:tcPr>
          <w:p w14:paraId="24D1226E" w14:textId="77777777" w:rsidR="0038480B" w:rsidRDefault="00000000">
            <w:pPr>
              <w:spacing w:line="248" w:lineRule="auto"/>
            </w:pPr>
            <w:r>
              <w:rPr>
                <w:b/>
                <w:bCs/>
                <w:color w:val="FFFFFF"/>
                <w:sz w:val="18"/>
                <w:szCs w:val="18"/>
              </w:rPr>
              <w:t>Knowledge semantics (a formal ontology)</w:t>
            </w:r>
          </w:p>
        </w:tc>
      </w:tr>
      <w:tr w:rsidR="0038480B" w14:paraId="228C77C8"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E7DDDC" w14:textId="77777777" w:rsidR="0038480B" w:rsidRDefault="00000000">
            <w:pPr>
              <w:spacing w:line="248" w:lineRule="auto"/>
            </w:pPr>
            <w:r>
              <w:rPr>
                <w:b/>
                <w:bCs/>
                <w:color w:val="24346B"/>
                <w:sz w:val="17"/>
                <w:szCs w:val="17"/>
              </w:rPr>
              <w:t>Encodes</w:t>
            </w:r>
          </w:p>
        </w:tc>
        <w:tc>
          <w:tcPr>
            <w:tcW w:w="36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7477E" w14:textId="77777777" w:rsidR="0038480B" w:rsidRDefault="00000000">
            <w:pPr>
              <w:spacing w:line="248" w:lineRule="auto"/>
            </w:pPr>
            <w:r>
              <w:rPr>
                <w:sz w:val="17"/>
                <w:szCs w:val="17"/>
              </w:rPr>
              <w:t>Entities, metrics, dimensions, joins, KPIs</w:t>
            </w:r>
          </w:p>
        </w:tc>
        <w:tc>
          <w:tcPr>
            <w:tcW w:w="36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BE8F4E" w14:textId="77777777" w:rsidR="0038480B" w:rsidRDefault="00000000">
            <w:pPr>
              <w:spacing w:line="248" w:lineRule="auto"/>
            </w:pPr>
            <w:r>
              <w:rPr>
                <w:sz w:val="17"/>
                <w:szCs w:val="17"/>
              </w:rPr>
              <w:t>Classes, formal relationships, axioms, inference rules, global IDs</w:t>
            </w:r>
          </w:p>
        </w:tc>
      </w:tr>
      <w:tr w:rsidR="0038480B" w14:paraId="72471FF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EEF6"/>
            <w:tcMar>
              <w:top w:w="60" w:type="dxa"/>
              <w:left w:w="100" w:type="dxa"/>
              <w:bottom w:w="60" w:type="dxa"/>
              <w:right w:w="100" w:type="dxa"/>
            </w:tcMar>
          </w:tcPr>
          <w:p w14:paraId="01DC0256" w14:textId="77777777" w:rsidR="0038480B" w:rsidRDefault="00000000">
            <w:pPr>
              <w:spacing w:line="248" w:lineRule="auto"/>
            </w:pPr>
            <w:r>
              <w:rPr>
                <w:b/>
                <w:bCs/>
                <w:color w:val="24346B"/>
                <w:sz w:val="17"/>
                <w:szCs w:val="17"/>
              </w:rPr>
              <w:t>Retail example</w:t>
            </w:r>
          </w:p>
        </w:tc>
        <w:tc>
          <w:tcPr>
            <w:tcW w:w="3630" w:type="dxa"/>
            <w:tcBorders>
              <w:top w:val="single" w:sz="1" w:space="0" w:color="CCCCCC"/>
              <w:left w:val="single" w:sz="1" w:space="0" w:color="CCCCCC"/>
              <w:bottom w:val="single" w:sz="1" w:space="0" w:color="CCCCCC"/>
              <w:right w:val="single" w:sz="1" w:space="0" w:color="CCCCCC"/>
            </w:tcBorders>
            <w:shd w:val="clear" w:color="auto" w:fill="F2EEF6"/>
            <w:tcMar>
              <w:top w:w="60" w:type="dxa"/>
              <w:left w:w="100" w:type="dxa"/>
              <w:bottom w:w="60" w:type="dxa"/>
              <w:right w:w="100" w:type="dxa"/>
            </w:tcMar>
          </w:tcPr>
          <w:p w14:paraId="70524613" w14:textId="77777777" w:rsidR="0038480B" w:rsidRDefault="00000000">
            <w:pPr>
              <w:spacing w:line="248" w:lineRule="auto"/>
            </w:pPr>
            <w:r>
              <w:rPr>
                <w:sz w:val="17"/>
                <w:szCs w:val="17"/>
              </w:rPr>
              <w:t>“What is comp-store sales, and how is it aggregated across banners?”</w:t>
            </w:r>
          </w:p>
        </w:tc>
        <w:tc>
          <w:tcPr>
            <w:tcW w:w="3630" w:type="dxa"/>
            <w:tcBorders>
              <w:top w:val="single" w:sz="1" w:space="0" w:color="CCCCCC"/>
              <w:left w:val="single" w:sz="1" w:space="0" w:color="CCCCCC"/>
              <w:bottom w:val="single" w:sz="1" w:space="0" w:color="CCCCCC"/>
              <w:right w:val="single" w:sz="1" w:space="0" w:color="CCCCCC"/>
            </w:tcBorders>
            <w:shd w:val="clear" w:color="auto" w:fill="F2EEF6"/>
            <w:tcMar>
              <w:top w:w="60" w:type="dxa"/>
              <w:left w:w="100" w:type="dxa"/>
              <w:bottom w:w="60" w:type="dxa"/>
              <w:right w:w="100" w:type="dxa"/>
            </w:tcMar>
          </w:tcPr>
          <w:p w14:paraId="1F5746E2" w14:textId="77777777" w:rsidR="0038480B" w:rsidRDefault="00000000">
            <w:pPr>
              <w:spacing w:line="248" w:lineRule="auto"/>
            </w:pPr>
            <w:r>
              <w:rPr>
                <w:sz w:val="17"/>
                <w:szCs w:val="17"/>
              </w:rPr>
              <w:t>“Is a BOPIS order an in-store or e-comm sale? Infer it across channels.”</w:t>
            </w:r>
          </w:p>
        </w:tc>
      </w:tr>
      <w:tr w:rsidR="0038480B" w14:paraId="2597C5B7"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16A92" w14:textId="77777777" w:rsidR="0038480B" w:rsidRDefault="00000000">
            <w:pPr>
              <w:spacing w:line="248" w:lineRule="auto"/>
            </w:pPr>
            <w:r>
              <w:rPr>
                <w:b/>
                <w:bCs/>
                <w:color w:val="24346B"/>
                <w:sz w:val="17"/>
                <w:szCs w:val="17"/>
              </w:rPr>
              <w:t>Built with</w:t>
            </w:r>
          </w:p>
        </w:tc>
        <w:tc>
          <w:tcPr>
            <w:tcW w:w="36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822CFF" w14:textId="77777777" w:rsidR="0038480B" w:rsidRDefault="00000000">
            <w:pPr>
              <w:spacing w:line="248" w:lineRule="auto"/>
            </w:pPr>
            <w:r>
              <w:rPr>
                <w:sz w:val="17"/>
                <w:szCs w:val="17"/>
              </w:rPr>
              <w:t>SQL views, YAML metrics-as-code, metric objects</w:t>
            </w:r>
          </w:p>
        </w:tc>
        <w:tc>
          <w:tcPr>
            <w:tcW w:w="36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04F0D4" w14:textId="77777777" w:rsidR="0038480B" w:rsidRDefault="00000000">
            <w:pPr>
              <w:spacing w:line="248" w:lineRule="auto"/>
            </w:pPr>
            <w:r>
              <w:rPr>
                <w:sz w:val="17"/>
                <w:szCs w:val="17"/>
              </w:rPr>
              <w:t>RDF / OWL / SHACL / SPARQL, a triplestore</w:t>
            </w:r>
          </w:p>
        </w:tc>
      </w:tr>
      <w:tr w:rsidR="0038480B" w14:paraId="0DB7A9A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2EEF6"/>
            <w:tcMar>
              <w:top w:w="60" w:type="dxa"/>
              <w:left w:w="100" w:type="dxa"/>
              <w:bottom w:w="60" w:type="dxa"/>
              <w:right w:w="100" w:type="dxa"/>
            </w:tcMar>
          </w:tcPr>
          <w:p w14:paraId="4A88C902" w14:textId="77777777" w:rsidR="0038480B" w:rsidRDefault="00000000">
            <w:pPr>
              <w:spacing w:line="248" w:lineRule="auto"/>
            </w:pPr>
            <w:r>
              <w:rPr>
                <w:b/>
                <w:bCs/>
                <w:color w:val="24346B"/>
                <w:sz w:val="17"/>
                <w:szCs w:val="17"/>
              </w:rPr>
              <w:t>Who plays here</w:t>
            </w:r>
          </w:p>
        </w:tc>
        <w:tc>
          <w:tcPr>
            <w:tcW w:w="3630" w:type="dxa"/>
            <w:tcBorders>
              <w:top w:val="single" w:sz="1" w:space="0" w:color="CCCCCC"/>
              <w:left w:val="single" w:sz="1" w:space="0" w:color="CCCCCC"/>
              <w:bottom w:val="single" w:sz="1" w:space="0" w:color="CCCCCC"/>
              <w:right w:val="single" w:sz="1" w:space="0" w:color="CCCCCC"/>
            </w:tcBorders>
            <w:shd w:val="clear" w:color="auto" w:fill="F2EEF6"/>
            <w:tcMar>
              <w:top w:w="60" w:type="dxa"/>
              <w:left w:w="100" w:type="dxa"/>
              <w:bottom w:w="60" w:type="dxa"/>
              <w:right w:w="100" w:type="dxa"/>
            </w:tcMar>
          </w:tcPr>
          <w:p w14:paraId="7C942F29" w14:textId="77777777" w:rsidR="0038480B" w:rsidRDefault="00000000">
            <w:pPr>
              <w:spacing w:line="248" w:lineRule="auto"/>
            </w:pPr>
            <w:r>
              <w:rPr>
                <w:sz w:val="17"/>
                <w:szCs w:val="17"/>
              </w:rPr>
              <w:t>Snowflake Semantic Views, Databricks Metric Views/Genie, Microsoft Fabric IQ, dbt Semantic Layer, Cube</w:t>
            </w:r>
          </w:p>
        </w:tc>
        <w:tc>
          <w:tcPr>
            <w:tcW w:w="3630" w:type="dxa"/>
            <w:tcBorders>
              <w:top w:val="single" w:sz="1" w:space="0" w:color="CCCCCC"/>
              <w:left w:val="single" w:sz="1" w:space="0" w:color="CCCCCC"/>
              <w:bottom w:val="single" w:sz="1" w:space="0" w:color="CCCCCC"/>
              <w:right w:val="single" w:sz="1" w:space="0" w:color="CCCCCC"/>
            </w:tcBorders>
            <w:shd w:val="clear" w:color="auto" w:fill="F2EEF6"/>
            <w:tcMar>
              <w:top w:w="60" w:type="dxa"/>
              <w:left w:w="100" w:type="dxa"/>
              <w:bottom w:w="60" w:type="dxa"/>
              <w:right w:w="100" w:type="dxa"/>
            </w:tcMar>
          </w:tcPr>
          <w:p w14:paraId="5BE22523" w14:textId="77777777" w:rsidR="0038480B" w:rsidRDefault="00000000">
            <w:pPr>
              <w:spacing w:line="248" w:lineRule="auto"/>
            </w:pPr>
            <w:r>
              <w:rPr>
                <w:sz w:val="17"/>
                <w:szCs w:val="17"/>
              </w:rPr>
              <w:t>Dedicated graph/ontology platforms (a special case — see Part 3)</w:t>
            </w:r>
          </w:p>
        </w:tc>
      </w:tr>
    </w:tbl>
    <w:p w14:paraId="59F326E8" w14:textId="77777777" w:rsidR="0038480B" w:rsidRDefault="00000000">
      <w:pPr>
        <w:spacing w:before="100" w:after="140" w:line="268" w:lineRule="auto"/>
      </w:pPr>
      <w:r>
        <w:rPr>
          <w:b/>
          <w:bCs/>
          <w:color w:val="C8102E"/>
        </w:rPr>
        <w:t xml:space="preserve">The punchline: </w:t>
      </w:r>
      <w:r>
        <w:t xml:space="preserve">about 90% of what a retailer needs — to serve BI and to ground AI agents — lives in the </w:t>
      </w:r>
      <w:r>
        <w:rPr>
          <w:b/>
          <w:bCs/>
        </w:rPr>
        <w:t>left column</w:t>
      </w:r>
      <w:r>
        <w:t>. When a vendor says “we have an ontology,” they almost always mean the left column dressed in a fancier word. SHACL and OWL are the right column: powerful, but a specialist tool — not the price of entry.</w:t>
      </w:r>
    </w:p>
    <w:p w14:paraId="60286C91" w14:textId="77777777" w:rsidR="0038480B" w:rsidRDefault="00000000">
      <w:pPr>
        <w:pStyle w:val="Heading1"/>
      </w:pPr>
      <w:r>
        <w:t>Part 2 · What every major platform actually shipped (2025–26)</w:t>
      </w:r>
    </w:p>
    <w:p w14:paraId="09D9F229" w14:textId="77777777" w:rsidR="0038480B" w:rsidRDefault="00000000">
      <w:pPr>
        <w:spacing w:after="140" w:line="268" w:lineRule="auto"/>
      </w:pPr>
      <w:r>
        <w:t>Strip away the branding and the convergence is striking. Everyone moved the semantic layer DOWN out of the BI tool and INTO the data platform / catalog — defined once, served to both BI and AI. Here’s the concrete capability set, with a retail lens.</w:t>
      </w:r>
    </w:p>
    <w:p w14:paraId="092BCF90" w14:textId="77777777" w:rsidR="0038480B" w:rsidRDefault="00000000">
      <w:pPr>
        <w:pStyle w:val="Heading2"/>
      </w:pPr>
      <w:r>
        <w:t>Snowflake — Semantic Views + Cortex Analyst</w:t>
      </w:r>
    </w:p>
    <w:p w14:paraId="70C6716B" w14:textId="77777777" w:rsidR="0038480B" w:rsidRDefault="00000000">
      <w:pPr>
        <w:pStyle w:val="ListParagraph"/>
        <w:numPr>
          <w:ilvl w:val="0"/>
          <w:numId w:val="2"/>
        </w:numPr>
        <w:spacing w:after="80" w:line="262" w:lineRule="auto"/>
      </w:pPr>
      <w:r>
        <w:rPr>
          <w:b/>
          <w:bCs/>
        </w:rPr>
        <w:t xml:space="preserve">Semantic Views </w:t>
      </w:r>
      <w:r>
        <w:t>are schema-level database objects: model logical tables, dimensions, time dimensions, and measures with exact aggregations — e.g., net sales = SUM(gross × (1−markdown)) — plus synonyms like “basket” for “transaction.”</w:t>
      </w:r>
    </w:p>
    <w:p w14:paraId="07FA1939" w14:textId="77777777" w:rsidR="0038480B" w:rsidRDefault="00000000">
      <w:pPr>
        <w:pStyle w:val="ListParagraph"/>
        <w:numPr>
          <w:ilvl w:val="0"/>
          <w:numId w:val="2"/>
        </w:numPr>
        <w:spacing w:after="80" w:line="262" w:lineRule="auto"/>
      </w:pPr>
      <w:r>
        <w:rPr>
          <w:b/>
          <w:bCs/>
        </w:rPr>
        <w:t xml:space="preserve">Cortex Analyst </w:t>
      </w:r>
      <w:r>
        <w:t>is a managed text-to-SQL service over those views (REST API, multi-turn), so a category manager can ask “top 10 SKUs by margin in the Northeast last month” and get a trustworthy answer — reportedly ~90% text-to-SQL accuracy.</w:t>
      </w:r>
    </w:p>
    <w:p w14:paraId="20A66338" w14:textId="77777777" w:rsidR="0038480B" w:rsidRDefault="00000000">
      <w:pPr>
        <w:pStyle w:val="ListParagraph"/>
        <w:numPr>
          <w:ilvl w:val="0"/>
          <w:numId w:val="2"/>
        </w:numPr>
        <w:spacing w:after="80" w:line="262" w:lineRule="auto"/>
      </w:pPr>
      <w:r>
        <w:rPr>
          <w:b/>
          <w:bCs/>
        </w:rPr>
        <w:t xml:space="preserve">Verified Query Repository </w:t>
      </w:r>
      <w:r>
        <w:t xml:space="preserve">pins trusted question→SQL pairs (e.g., the “official” comp-sales query); </w:t>
      </w:r>
      <w:r>
        <w:rPr>
          <w:b/>
          <w:bCs/>
        </w:rPr>
        <w:t>Autopilot</w:t>
      </w:r>
      <w:r>
        <w:t xml:space="preserve"> auto-builds semantic views from existing merchandising dashboards.</w:t>
      </w:r>
    </w:p>
    <w:p w14:paraId="2A392812" w14:textId="77777777" w:rsidR="0038480B" w:rsidRDefault="00000000">
      <w:pPr>
        <w:pStyle w:val="Heading2"/>
      </w:pPr>
      <w:r>
        <w:t>Databricks — Unity Catalog Business Semantics, Metric Views + Genie</w:t>
      </w:r>
    </w:p>
    <w:p w14:paraId="6DC31460" w14:textId="77777777" w:rsidR="0038480B" w:rsidRDefault="00000000">
      <w:pPr>
        <w:pStyle w:val="ListParagraph"/>
        <w:numPr>
          <w:ilvl w:val="0"/>
          <w:numId w:val="2"/>
        </w:numPr>
        <w:spacing w:after="80" w:line="262" w:lineRule="auto"/>
      </w:pPr>
      <w:r>
        <w:rPr>
          <w:b/>
          <w:bCs/>
        </w:rPr>
        <w:t xml:space="preserve">Metric Views </w:t>
      </w:r>
      <w:r>
        <w:t>are YAML objects that define each KPI once (Total Revenue, Shrinkage %, Sell-Through, GMROI) and compute at query time — composable metrics, filtered/window measures, multi-level joins across store, product, and channel.</w:t>
      </w:r>
    </w:p>
    <w:p w14:paraId="6FF19EE8" w14:textId="77777777" w:rsidR="0038480B" w:rsidRDefault="00000000">
      <w:pPr>
        <w:pStyle w:val="ListParagraph"/>
        <w:numPr>
          <w:ilvl w:val="0"/>
          <w:numId w:val="2"/>
        </w:numPr>
        <w:spacing w:after="80" w:line="262" w:lineRule="auto"/>
      </w:pPr>
      <w:r>
        <w:rPr>
          <w:b/>
          <w:bCs/>
        </w:rPr>
        <w:t xml:space="preserve">Genie </w:t>
      </w:r>
      <w:r>
        <w:t>is a compound-AI conversational layer reading those Metric Views (plus synonyms/display names) so store ops can ask plain-English questions; recent additions include memory and evaluation benchmarks.</w:t>
      </w:r>
    </w:p>
    <w:p w14:paraId="236A2A30" w14:textId="77777777" w:rsidR="0038480B" w:rsidRDefault="00000000">
      <w:pPr>
        <w:pStyle w:val="ListParagraph"/>
        <w:numPr>
          <w:ilvl w:val="0"/>
          <w:numId w:val="2"/>
        </w:numPr>
        <w:spacing w:after="80" w:line="262" w:lineRule="auto"/>
      </w:pPr>
      <w:r>
        <w:rPr>
          <w:b/>
          <w:bCs/>
        </w:rPr>
        <w:t xml:space="preserve">Unity AI Gateway </w:t>
      </w:r>
      <w:r>
        <w:t>governs what agents do — models, tools, MCP servers — not just what data they read; vital when a pricing agent can move real prices.</w:t>
      </w:r>
    </w:p>
    <w:p w14:paraId="3AE12950" w14:textId="77777777" w:rsidR="0038480B" w:rsidRDefault="00000000">
      <w:pPr>
        <w:pStyle w:val="ListParagraph"/>
        <w:numPr>
          <w:ilvl w:val="0"/>
          <w:numId w:val="2"/>
        </w:numPr>
        <w:spacing w:after="80" w:line="262" w:lineRule="auto"/>
      </w:pPr>
      <w:r>
        <w:rPr>
          <w:b/>
          <w:bCs/>
        </w:rPr>
        <w:t xml:space="preserve">Openness: </w:t>
      </w:r>
      <w:r>
        <w:t>the core Metric View implementation is being open-sourced in Apache Spark, and Databricks joined the Open Semantic Interchange — so definitions stay portable.</w:t>
      </w:r>
    </w:p>
    <w:p w14:paraId="6AFAAC8A" w14:textId="77777777" w:rsidR="0038480B" w:rsidRDefault="00000000">
      <w:pPr>
        <w:pStyle w:val="Heading2"/>
      </w:pPr>
      <w:r>
        <w:lastRenderedPageBreak/>
        <w:t>Microsoft — Fabric IQ Ontology</w:t>
      </w:r>
    </w:p>
    <w:p w14:paraId="2DBA191A" w14:textId="77777777" w:rsidR="0038480B" w:rsidRDefault="00000000">
      <w:pPr>
        <w:pStyle w:val="ListParagraph"/>
        <w:numPr>
          <w:ilvl w:val="0"/>
          <w:numId w:val="2"/>
        </w:numPr>
        <w:spacing w:after="80" w:line="262" w:lineRule="auto"/>
      </w:pPr>
      <w:r>
        <w:rPr>
          <w:b/>
          <w:bCs/>
        </w:rPr>
        <w:t xml:space="preserve">Ontology </w:t>
      </w:r>
      <w:r>
        <w:t>defines retail entity types (Store, Product, Order, Shipment), their properties and relationships, bound to OneLake data — elevating meaning above any single table.</w:t>
      </w:r>
    </w:p>
    <w:p w14:paraId="5761D4BC" w14:textId="77777777" w:rsidR="0038480B" w:rsidRDefault="00000000">
      <w:pPr>
        <w:pStyle w:val="ListParagraph"/>
        <w:numPr>
          <w:ilvl w:val="0"/>
          <w:numId w:val="2"/>
        </w:numPr>
        <w:spacing w:after="80" w:line="262" w:lineRule="auto"/>
      </w:pPr>
      <w:r>
        <w:rPr>
          <w:b/>
          <w:bCs/>
        </w:rPr>
        <w:t xml:space="preserve">NL2Ontology </w:t>
      </w:r>
      <w:r>
        <w:t xml:space="preserve">turns natural-language questions into structured queries; </w:t>
      </w:r>
      <w:r>
        <w:rPr>
          <w:b/>
          <w:bCs/>
        </w:rPr>
        <w:t>Graph</w:t>
      </w:r>
      <w:r>
        <w:t xml:space="preserve"> enables no-code multi-hop queries — e.g., “which suppliers feed the SKUs most exposed to the port delay?”</w:t>
      </w:r>
    </w:p>
    <w:p w14:paraId="5F2B056A" w14:textId="77777777" w:rsidR="0038480B" w:rsidRDefault="00000000">
      <w:pPr>
        <w:pStyle w:val="ListParagraph"/>
        <w:numPr>
          <w:ilvl w:val="0"/>
          <w:numId w:val="2"/>
        </w:numPr>
        <w:spacing w:after="80" w:line="262" w:lineRule="auto"/>
      </w:pPr>
      <w:r>
        <w:rPr>
          <w:b/>
          <w:bCs/>
        </w:rPr>
        <w:t xml:space="preserve">Reach: </w:t>
      </w:r>
      <w:r>
        <w:t xml:space="preserve">an </w:t>
      </w:r>
      <w:r>
        <w:rPr>
          <w:b/>
          <w:bCs/>
        </w:rPr>
        <w:t>Ontology MCP</w:t>
      </w:r>
      <w:r>
        <w:t xml:space="preserve"> server exposes governed entities to external agents across Foundry and Copilot.</w:t>
      </w:r>
    </w:p>
    <w:p w14:paraId="107B9A8A" w14:textId="77777777" w:rsidR="0038480B" w:rsidRDefault="00000000">
      <w:pPr>
        <w:pStyle w:val="Heading2"/>
      </w:pPr>
      <w:r>
        <w:t>dbt — Semantic Layer (MetricFlow)</w:t>
      </w:r>
    </w:p>
    <w:p w14:paraId="70E44A3D" w14:textId="77777777" w:rsidR="0038480B" w:rsidRDefault="00000000">
      <w:pPr>
        <w:pStyle w:val="ListParagraph"/>
        <w:numPr>
          <w:ilvl w:val="0"/>
          <w:numId w:val="2"/>
        </w:numPr>
        <w:spacing w:after="80" w:line="262" w:lineRule="auto"/>
      </w:pPr>
      <w:r>
        <w:rPr>
          <w:b/>
          <w:bCs/>
        </w:rPr>
        <w:t xml:space="preserve">Metrics-as-code: </w:t>
      </w:r>
      <w:r>
        <w:t>define semantic models and metrics in YAML; MetricFlow compiles warehouse-specific SQL on the fly — versioned in Git, tested in CI, so “active customer” is defined once for the whole retailer.</w:t>
      </w:r>
    </w:p>
    <w:p w14:paraId="01010983" w14:textId="77777777" w:rsidR="0038480B" w:rsidRDefault="00000000">
      <w:pPr>
        <w:pStyle w:val="ListParagraph"/>
        <w:numPr>
          <w:ilvl w:val="0"/>
          <w:numId w:val="2"/>
        </w:numPr>
        <w:spacing w:after="80" w:line="262" w:lineRule="auto"/>
      </w:pPr>
      <w:r>
        <w:rPr>
          <w:b/>
          <w:bCs/>
        </w:rPr>
        <w:t xml:space="preserve">Consumption: </w:t>
      </w:r>
      <w:r>
        <w:t>query via JDBC, GraphQL, and a Python SDK; saved queries bundle common merchandising metrics/dimensions — the same definition flows to Tableau, Excel, notebooks, and agents.</w:t>
      </w:r>
    </w:p>
    <w:p w14:paraId="1FD6AA1A" w14:textId="77777777" w:rsidR="0038480B" w:rsidRDefault="00000000">
      <w:pPr>
        <w:pStyle w:val="Heading1"/>
      </w:pPr>
      <w:r>
        <w:t>Part 3 · So why is every consultant talking about ontology?</w:t>
      </w:r>
    </w:p>
    <w:p w14:paraId="0948742D" w14:textId="77777777" w:rsidR="0038480B" w:rsidRDefault="00000000">
      <w:pPr>
        <w:spacing w:after="140" w:line="268" w:lineRule="auto"/>
      </w:pPr>
      <w:r>
        <w:t xml:space="preserve">Here’s the honest nuance I owe you. There is a second, genuinely different kind of “ontology” — the </w:t>
      </w:r>
      <w:r>
        <w:rPr>
          <w:b/>
          <w:bCs/>
        </w:rPr>
        <w:t>operational</w:t>
      </w:r>
      <w:r>
        <w:t xml:space="preserve"> kind that a growing set of platforms champion. It is NOT the academic RDF/OWL stack above. It has two halves:</w:t>
      </w:r>
    </w:p>
    <w:p w14:paraId="3B9DA153" w14:textId="77777777" w:rsidR="0038480B" w:rsidRDefault="00000000">
      <w:pPr>
        <w:pStyle w:val="ListParagraph"/>
        <w:numPr>
          <w:ilvl w:val="0"/>
          <w:numId w:val="2"/>
        </w:numPr>
        <w:spacing w:after="80" w:line="262" w:lineRule="auto"/>
      </w:pPr>
      <w:r>
        <w:rPr>
          <w:b/>
          <w:bCs/>
        </w:rPr>
        <w:t xml:space="preserve">Meaning elements </w:t>
      </w:r>
      <w:r>
        <w:t>— objects, properties, links (the “nouns”: Store, SKU, Purchase Order, Shipment).</w:t>
      </w:r>
    </w:p>
    <w:p w14:paraId="2942CD79" w14:textId="77777777" w:rsidR="0038480B" w:rsidRDefault="00000000">
      <w:pPr>
        <w:pStyle w:val="ListParagraph"/>
        <w:numPr>
          <w:ilvl w:val="0"/>
          <w:numId w:val="2"/>
        </w:numPr>
        <w:spacing w:after="80" w:line="262" w:lineRule="auto"/>
      </w:pPr>
      <w:r>
        <w:rPr>
          <w:b/>
          <w:bCs/>
        </w:rPr>
        <w:t xml:space="preserve">Action elements </w:t>
      </w:r>
      <w:r>
        <w:t>— governed operations, functions, dynamic security (the “verbs”: reorder, reroute, reprice, write back to the ERP/WMS).</w:t>
      </w:r>
    </w:p>
    <w:p w14:paraId="02D174BA" w14:textId="77777777" w:rsidR="0038480B" w:rsidRDefault="00000000">
      <w:pPr>
        <w:spacing w:after="140" w:line="268" w:lineRule="auto"/>
      </w:pPr>
      <w:r>
        <w:t xml:space="preserve">That second half is the difference. A metric layer lets an agent </w:t>
      </w:r>
      <w:r>
        <w:rPr>
          <w:b/>
          <w:bCs/>
        </w:rPr>
        <w:t>read</w:t>
      </w:r>
      <w:r>
        <w:t xml:space="preserve"> a governed number. An operational ontology lets an agent </w:t>
      </w:r>
      <w:r>
        <w:rPr>
          <w:b/>
          <w:bCs/>
        </w:rPr>
        <w:t>act</w:t>
      </w:r>
      <w:r>
        <w:t xml:space="preserve"> — execute a governed transaction that writes back to source systems, under the same security as a human employee. That’s why it’s having a moment: LLMs know words, not your world, and 40–70% of IT spend goes to integration because “customer” means different things across 50–200 apps. An operational model genuinely fixes that.</w:t>
      </w:r>
    </w:p>
    <w:p w14:paraId="3877A7E9" w14:textId="77777777" w:rsidR="0038480B" w:rsidRDefault="00000000">
      <w:pPr>
        <w:spacing w:after="140" w:line="268" w:lineRule="auto"/>
      </w:pPr>
      <w:r>
        <w:rPr>
          <w:b/>
          <w:bCs/>
          <w:color w:val="C8102E"/>
        </w:rPr>
        <w:t xml:space="preserve">But be skeptical of the pitch. </w:t>
      </w:r>
      <w:r>
        <w:t xml:space="preserve">Ontology work is high-value, sticky, consulting-led — far more billable than “we set up a metric layer.” Beware anyone who leads with “you need an enterprise ontology” before understanding your use case. The right question isn’t if, it’s </w:t>
      </w:r>
      <w:r>
        <w:rPr>
          <w:b/>
          <w:bCs/>
        </w:rPr>
        <w:t>which tier — and for which use case.</w:t>
      </w:r>
    </w:p>
    <w:p w14:paraId="61717328" w14:textId="77777777" w:rsidR="0038480B" w:rsidRDefault="00000000">
      <w:pPr>
        <w:pStyle w:val="Heading2"/>
      </w:pPr>
      <w:r>
        <w:t>The three tiers, side by side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50"/>
        <w:gridCol w:w="2650"/>
        <w:gridCol w:w="2560"/>
      </w:tblGrid>
      <w:tr w:rsidR="0038480B" w14:paraId="71FC4F92"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4346B"/>
            <w:tcMar>
              <w:top w:w="60" w:type="dxa"/>
              <w:left w:w="100" w:type="dxa"/>
              <w:bottom w:w="60" w:type="dxa"/>
              <w:right w:w="100" w:type="dxa"/>
            </w:tcMar>
          </w:tcPr>
          <w:p w14:paraId="585BAA62" w14:textId="77777777" w:rsidR="0038480B" w:rsidRDefault="00000000">
            <w:pPr>
              <w:spacing w:line="248" w:lineRule="auto"/>
            </w:pPr>
            <w:r>
              <w:rPr>
                <w:b/>
                <w:bCs/>
                <w:color w:val="FFFFFF"/>
                <w:sz w:val="18"/>
                <w:szCs w:val="18"/>
              </w:rPr>
              <w:t xml:space="preserve"> </w:t>
            </w:r>
          </w:p>
        </w:tc>
        <w:tc>
          <w:tcPr>
            <w:tcW w:w="2650" w:type="dxa"/>
            <w:tcBorders>
              <w:top w:val="single" w:sz="1" w:space="0" w:color="CCCCCC"/>
              <w:left w:val="single" w:sz="1" w:space="0" w:color="CCCCCC"/>
              <w:bottom w:val="single" w:sz="1" w:space="0" w:color="CCCCCC"/>
              <w:right w:val="single" w:sz="1" w:space="0" w:color="CCCCCC"/>
            </w:tcBorders>
            <w:shd w:val="clear" w:color="auto" w:fill="24346B"/>
            <w:tcMar>
              <w:top w:w="60" w:type="dxa"/>
              <w:left w:w="100" w:type="dxa"/>
              <w:bottom w:w="60" w:type="dxa"/>
              <w:right w:w="100" w:type="dxa"/>
            </w:tcMar>
          </w:tcPr>
          <w:p w14:paraId="4FA45E2C" w14:textId="77777777" w:rsidR="0038480B" w:rsidRDefault="00000000">
            <w:pPr>
              <w:spacing w:line="248" w:lineRule="auto"/>
            </w:pPr>
            <w:r>
              <w:rPr>
                <w:b/>
                <w:bCs/>
                <w:color w:val="FFFFFF"/>
                <w:sz w:val="18"/>
                <w:szCs w:val="18"/>
              </w:rPr>
              <w:t>Tier 1 · Semantic / Metric Layer</w:t>
            </w:r>
          </w:p>
        </w:tc>
        <w:tc>
          <w:tcPr>
            <w:tcW w:w="2650" w:type="dxa"/>
            <w:tcBorders>
              <w:top w:val="single" w:sz="1" w:space="0" w:color="CCCCCC"/>
              <w:left w:val="single" w:sz="1" w:space="0" w:color="CCCCCC"/>
              <w:bottom w:val="single" w:sz="1" w:space="0" w:color="CCCCCC"/>
              <w:right w:val="single" w:sz="1" w:space="0" w:color="CCCCCC"/>
            </w:tcBorders>
            <w:shd w:val="clear" w:color="auto" w:fill="24346B"/>
            <w:tcMar>
              <w:top w:w="60" w:type="dxa"/>
              <w:left w:w="100" w:type="dxa"/>
              <w:bottom w:w="60" w:type="dxa"/>
              <w:right w:w="100" w:type="dxa"/>
            </w:tcMar>
          </w:tcPr>
          <w:p w14:paraId="6FBD9F63" w14:textId="77777777" w:rsidR="0038480B" w:rsidRDefault="00000000">
            <w:pPr>
              <w:spacing w:line="248" w:lineRule="auto"/>
            </w:pPr>
            <w:r>
              <w:rPr>
                <w:b/>
                <w:bCs/>
                <w:color w:val="FFFFFF"/>
                <w:sz w:val="18"/>
                <w:szCs w:val="18"/>
              </w:rPr>
              <w:t>Tier 2 · Operational Ontology</w:t>
            </w:r>
          </w:p>
        </w:tc>
        <w:tc>
          <w:tcPr>
            <w:tcW w:w="2560" w:type="dxa"/>
            <w:tcBorders>
              <w:top w:val="single" w:sz="1" w:space="0" w:color="CCCCCC"/>
              <w:left w:val="single" w:sz="1" w:space="0" w:color="CCCCCC"/>
              <w:bottom w:val="single" w:sz="1" w:space="0" w:color="CCCCCC"/>
              <w:right w:val="single" w:sz="1" w:space="0" w:color="CCCCCC"/>
            </w:tcBorders>
            <w:shd w:val="clear" w:color="auto" w:fill="24346B"/>
            <w:tcMar>
              <w:top w:w="60" w:type="dxa"/>
              <w:left w:w="100" w:type="dxa"/>
              <w:bottom w:w="60" w:type="dxa"/>
              <w:right w:w="100" w:type="dxa"/>
            </w:tcMar>
          </w:tcPr>
          <w:p w14:paraId="58989E43" w14:textId="77777777" w:rsidR="0038480B" w:rsidRDefault="00000000">
            <w:pPr>
              <w:spacing w:line="248" w:lineRule="auto"/>
            </w:pPr>
            <w:r>
              <w:rPr>
                <w:b/>
                <w:bCs/>
                <w:color w:val="FFFFFF"/>
                <w:sz w:val="18"/>
                <w:szCs w:val="18"/>
              </w:rPr>
              <w:t>Tier 3 · Formal Ontology</w:t>
            </w:r>
          </w:p>
        </w:tc>
      </w:tr>
      <w:tr w:rsidR="0038480B" w14:paraId="154C452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858F11" w14:textId="77777777" w:rsidR="0038480B" w:rsidRDefault="00000000">
            <w:pPr>
              <w:spacing w:line="248" w:lineRule="auto"/>
            </w:pPr>
            <w:r>
              <w:rPr>
                <w:b/>
                <w:bCs/>
                <w:color w:val="24346B"/>
                <w:sz w:val="16"/>
                <w:szCs w:val="16"/>
              </w:rPr>
              <w:t>Core job</w:t>
            </w:r>
          </w:p>
        </w:tc>
        <w:tc>
          <w:tcPr>
            <w:tcW w:w="2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CE8944" w14:textId="77777777" w:rsidR="0038480B" w:rsidRDefault="00000000">
            <w:pPr>
              <w:spacing w:line="248" w:lineRule="auto"/>
            </w:pPr>
            <w:r>
              <w:rPr>
                <w:sz w:val="17"/>
                <w:szCs w:val="17"/>
              </w:rPr>
              <w:t>Answer questions on governed metrics — BI + conversational AI</w:t>
            </w:r>
          </w:p>
        </w:tc>
        <w:tc>
          <w:tcPr>
            <w:tcW w:w="2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74ECEA" w14:textId="77777777" w:rsidR="0038480B" w:rsidRDefault="00000000">
            <w:pPr>
              <w:spacing w:line="248" w:lineRule="auto"/>
            </w:pPr>
            <w:r>
              <w:rPr>
                <w:sz w:val="17"/>
                <w:szCs w:val="17"/>
              </w:rPr>
              <w:t>Fuse many systems into live objects and TAKE governed action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B1A67A" w14:textId="77777777" w:rsidR="0038480B" w:rsidRDefault="00000000">
            <w:pPr>
              <w:spacing w:line="248" w:lineRule="auto"/>
            </w:pPr>
            <w:r>
              <w:rPr>
                <w:sz w:val="17"/>
                <w:szCs w:val="17"/>
              </w:rPr>
              <w:t>Formal inference, classification, machine-verifiable logic</w:t>
            </w:r>
          </w:p>
        </w:tc>
      </w:tr>
      <w:tr w:rsidR="0038480B" w14:paraId="0711E2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EEF6"/>
            <w:tcMar>
              <w:top w:w="60" w:type="dxa"/>
              <w:left w:w="100" w:type="dxa"/>
              <w:bottom w:w="60" w:type="dxa"/>
              <w:right w:w="100" w:type="dxa"/>
            </w:tcMar>
          </w:tcPr>
          <w:p w14:paraId="2A05B0CD" w14:textId="77777777" w:rsidR="0038480B" w:rsidRDefault="00000000">
            <w:pPr>
              <w:spacing w:line="248" w:lineRule="auto"/>
            </w:pPr>
            <w:r>
              <w:rPr>
                <w:b/>
                <w:bCs/>
                <w:color w:val="24346B"/>
                <w:sz w:val="16"/>
                <w:szCs w:val="16"/>
              </w:rPr>
              <w:t>Verb</w:t>
            </w:r>
          </w:p>
        </w:tc>
        <w:tc>
          <w:tcPr>
            <w:tcW w:w="2650" w:type="dxa"/>
            <w:tcBorders>
              <w:top w:val="single" w:sz="1" w:space="0" w:color="CCCCCC"/>
              <w:left w:val="single" w:sz="1" w:space="0" w:color="CCCCCC"/>
              <w:bottom w:val="single" w:sz="1" w:space="0" w:color="CCCCCC"/>
              <w:right w:val="single" w:sz="1" w:space="0" w:color="CCCCCC"/>
            </w:tcBorders>
            <w:shd w:val="clear" w:color="auto" w:fill="F2EEF6"/>
            <w:tcMar>
              <w:top w:w="60" w:type="dxa"/>
              <w:left w:w="100" w:type="dxa"/>
              <w:bottom w:w="60" w:type="dxa"/>
              <w:right w:w="100" w:type="dxa"/>
            </w:tcMar>
          </w:tcPr>
          <w:p w14:paraId="375C74D3" w14:textId="77777777" w:rsidR="0038480B" w:rsidRDefault="00000000">
            <w:pPr>
              <w:spacing w:line="248" w:lineRule="auto"/>
            </w:pPr>
            <w:r>
              <w:rPr>
                <w:b/>
                <w:bCs/>
                <w:color w:val="1C7293"/>
                <w:sz w:val="16"/>
                <w:szCs w:val="16"/>
              </w:rPr>
              <w:t>READ</w:t>
            </w:r>
          </w:p>
        </w:tc>
        <w:tc>
          <w:tcPr>
            <w:tcW w:w="2650" w:type="dxa"/>
            <w:tcBorders>
              <w:top w:val="single" w:sz="1" w:space="0" w:color="CCCCCC"/>
              <w:left w:val="single" w:sz="1" w:space="0" w:color="CCCCCC"/>
              <w:bottom w:val="single" w:sz="1" w:space="0" w:color="CCCCCC"/>
              <w:right w:val="single" w:sz="1" w:space="0" w:color="CCCCCC"/>
            </w:tcBorders>
            <w:shd w:val="clear" w:color="auto" w:fill="F2EEF6"/>
            <w:tcMar>
              <w:top w:w="60" w:type="dxa"/>
              <w:left w:w="100" w:type="dxa"/>
              <w:bottom w:w="60" w:type="dxa"/>
              <w:right w:w="100" w:type="dxa"/>
            </w:tcMar>
          </w:tcPr>
          <w:p w14:paraId="70FAA003" w14:textId="77777777" w:rsidR="0038480B" w:rsidRDefault="00000000">
            <w:pPr>
              <w:spacing w:line="248" w:lineRule="auto"/>
            </w:pPr>
            <w:r>
              <w:rPr>
                <w:b/>
                <w:bCs/>
                <w:color w:val="6D2E5B"/>
                <w:sz w:val="16"/>
                <w:szCs w:val="16"/>
              </w:rPr>
              <w:t>ACT</w:t>
            </w:r>
          </w:p>
        </w:tc>
        <w:tc>
          <w:tcPr>
            <w:tcW w:w="2560" w:type="dxa"/>
            <w:tcBorders>
              <w:top w:val="single" w:sz="1" w:space="0" w:color="CCCCCC"/>
              <w:left w:val="single" w:sz="1" w:space="0" w:color="CCCCCC"/>
              <w:bottom w:val="single" w:sz="1" w:space="0" w:color="CCCCCC"/>
              <w:right w:val="single" w:sz="1" w:space="0" w:color="CCCCCC"/>
            </w:tcBorders>
            <w:shd w:val="clear" w:color="auto" w:fill="F2EEF6"/>
            <w:tcMar>
              <w:top w:w="60" w:type="dxa"/>
              <w:left w:w="100" w:type="dxa"/>
              <w:bottom w:w="60" w:type="dxa"/>
              <w:right w:w="100" w:type="dxa"/>
            </w:tcMar>
          </w:tcPr>
          <w:p w14:paraId="59D9795E" w14:textId="77777777" w:rsidR="0038480B" w:rsidRDefault="00000000">
            <w:pPr>
              <w:spacing w:line="248" w:lineRule="auto"/>
            </w:pPr>
            <w:r>
              <w:rPr>
                <w:b/>
                <w:bCs/>
                <w:color w:val="9A6B00"/>
                <w:sz w:val="16"/>
                <w:szCs w:val="16"/>
              </w:rPr>
              <w:t>INFER</w:t>
            </w:r>
          </w:p>
        </w:tc>
      </w:tr>
      <w:tr w:rsidR="0038480B" w14:paraId="7216A7C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345376" w14:textId="77777777" w:rsidR="0038480B" w:rsidRDefault="00000000">
            <w:pPr>
              <w:spacing w:line="248" w:lineRule="auto"/>
            </w:pPr>
            <w:r>
              <w:rPr>
                <w:b/>
                <w:bCs/>
                <w:color w:val="24346B"/>
                <w:sz w:val="16"/>
                <w:szCs w:val="16"/>
              </w:rPr>
              <w:t>Who plays</w:t>
            </w:r>
          </w:p>
        </w:tc>
        <w:tc>
          <w:tcPr>
            <w:tcW w:w="2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72B7CC" w14:textId="77777777" w:rsidR="0038480B" w:rsidRDefault="00000000">
            <w:pPr>
              <w:spacing w:line="248" w:lineRule="auto"/>
            </w:pPr>
            <w:r>
              <w:rPr>
                <w:sz w:val="17"/>
                <w:szCs w:val="17"/>
              </w:rPr>
              <w:t>Snowflake, Databricks, dbt, Fabric IQ, Cube</w:t>
            </w:r>
          </w:p>
        </w:tc>
        <w:tc>
          <w:tcPr>
            <w:tcW w:w="26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01F676" w14:textId="77777777" w:rsidR="0038480B" w:rsidRDefault="00000000">
            <w:pPr>
              <w:spacing w:line="248" w:lineRule="auto"/>
            </w:pPr>
            <w:r>
              <w:rPr>
                <w:sz w:val="17"/>
                <w:szCs w:val="17"/>
              </w:rPr>
              <w:t>Operational-ontology platforms; Fabric IQ (moving here)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58CF55" w14:textId="77777777" w:rsidR="0038480B" w:rsidRDefault="00000000">
            <w:pPr>
              <w:spacing w:line="248" w:lineRule="auto"/>
            </w:pPr>
            <w:r>
              <w:rPr>
                <w:sz w:val="17"/>
                <w:szCs w:val="17"/>
              </w:rPr>
              <w:t>Stardog, RelationalAI; Ontop/Timbr (light, no triplestore)</w:t>
            </w:r>
          </w:p>
        </w:tc>
      </w:tr>
      <w:tr w:rsidR="0038480B" w14:paraId="71FFC00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EEF6"/>
            <w:tcMar>
              <w:top w:w="60" w:type="dxa"/>
              <w:left w:w="100" w:type="dxa"/>
              <w:bottom w:w="60" w:type="dxa"/>
              <w:right w:w="100" w:type="dxa"/>
            </w:tcMar>
          </w:tcPr>
          <w:p w14:paraId="6A2F4419" w14:textId="77777777" w:rsidR="0038480B" w:rsidRDefault="00000000">
            <w:pPr>
              <w:spacing w:line="248" w:lineRule="auto"/>
            </w:pPr>
            <w:r>
              <w:rPr>
                <w:b/>
                <w:bCs/>
                <w:color w:val="24346B"/>
                <w:sz w:val="16"/>
                <w:szCs w:val="16"/>
              </w:rPr>
              <w:t>Cost / lock-in</w:t>
            </w:r>
          </w:p>
        </w:tc>
        <w:tc>
          <w:tcPr>
            <w:tcW w:w="2650" w:type="dxa"/>
            <w:tcBorders>
              <w:top w:val="single" w:sz="1" w:space="0" w:color="CCCCCC"/>
              <w:left w:val="single" w:sz="1" w:space="0" w:color="CCCCCC"/>
              <w:bottom w:val="single" w:sz="1" w:space="0" w:color="CCCCCC"/>
              <w:right w:val="single" w:sz="1" w:space="0" w:color="CCCCCC"/>
            </w:tcBorders>
            <w:shd w:val="clear" w:color="auto" w:fill="F2EEF6"/>
            <w:tcMar>
              <w:top w:w="60" w:type="dxa"/>
              <w:left w:w="100" w:type="dxa"/>
              <w:bottom w:w="60" w:type="dxa"/>
              <w:right w:w="100" w:type="dxa"/>
            </w:tcMar>
          </w:tcPr>
          <w:p w14:paraId="325465F3" w14:textId="77777777" w:rsidR="0038480B" w:rsidRDefault="00000000">
            <w:pPr>
              <w:spacing w:line="248" w:lineRule="auto"/>
            </w:pPr>
            <w:r>
              <w:rPr>
                <w:b/>
                <w:bCs/>
                <w:color w:val="2C6E49"/>
                <w:sz w:val="16"/>
                <w:szCs w:val="16"/>
              </w:rPr>
              <w:t>Low · open</w:t>
            </w:r>
          </w:p>
        </w:tc>
        <w:tc>
          <w:tcPr>
            <w:tcW w:w="2650" w:type="dxa"/>
            <w:tcBorders>
              <w:top w:val="single" w:sz="1" w:space="0" w:color="CCCCCC"/>
              <w:left w:val="single" w:sz="1" w:space="0" w:color="CCCCCC"/>
              <w:bottom w:val="single" w:sz="1" w:space="0" w:color="CCCCCC"/>
              <w:right w:val="single" w:sz="1" w:space="0" w:color="CCCCCC"/>
            </w:tcBorders>
            <w:shd w:val="clear" w:color="auto" w:fill="F2EEF6"/>
            <w:tcMar>
              <w:top w:w="60" w:type="dxa"/>
              <w:left w:w="100" w:type="dxa"/>
              <w:bottom w:w="60" w:type="dxa"/>
              <w:right w:w="100" w:type="dxa"/>
            </w:tcMar>
          </w:tcPr>
          <w:p w14:paraId="6AD7E036" w14:textId="77777777" w:rsidR="0038480B" w:rsidRDefault="00000000">
            <w:pPr>
              <w:spacing w:line="248" w:lineRule="auto"/>
            </w:pPr>
            <w:r>
              <w:rPr>
                <w:b/>
                <w:bCs/>
                <w:color w:val="C8102E"/>
                <w:sz w:val="16"/>
                <w:szCs w:val="16"/>
              </w:rPr>
              <w:t>High · premium</w:t>
            </w:r>
          </w:p>
        </w:tc>
        <w:tc>
          <w:tcPr>
            <w:tcW w:w="2560" w:type="dxa"/>
            <w:tcBorders>
              <w:top w:val="single" w:sz="1" w:space="0" w:color="CCCCCC"/>
              <w:left w:val="single" w:sz="1" w:space="0" w:color="CCCCCC"/>
              <w:bottom w:val="single" w:sz="1" w:space="0" w:color="CCCCCC"/>
              <w:right w:val="single" w:sz="1" w:space="0" w:color="CCCCCC"/>
            </w:tcBorders>
            <w:shd w:val="clear" w:color="auto" w:fill="F2EEF6"/>
            <w:tcMar>
              <w:top w:w="60" w:type="dxa"/>
              <w:left w:w="100" w:type="dxa"/>
              <w:bottom w:w="60" w:type="dxa"/>
              <w:right w:w="100" w:type="dxa"/>
            </w:tcMar>
          </w:tcPr>
          <w:p w14:paraId="76C155A6" w14:textId="77777777" w:rsidR="0038480B" w:rsidRDefault="00000000">
            <w:pPr>
              <w:spacing w:line="248" w:lineRule="auto"/>
            </w:pPr>
            <w:r>
              <w:rPr>
                <w:b/>
                <w:bCs/>
                <w:color w:val="9A6B00"/>
                <w:sz w:val="16"/>
                <w:szCs w:val="16"/>
              </w:rPr>
              <w:t>Medium · specialist</w:t>
            </w:r>
          </w:p>
        </w:tc>
      </w:tr>
    </w:tbl>
    <w:p w14:paraId="7B75EC8E" w14:textId="77777777" w:rsidR="0038480B" w:rsidRDefault="00000000">
      <w:pPr>
        <w:spacing w:before="90" w:after="140" w:line="268" w:lineRule="auto"/>
      </w:pPr>
      <w:r>
        <w:rPr>
          <w:b/>
          <w:bCs/>
          <w:color w:val="C8102E"/>
        </w:rPr>
        <w:lastRenderedPageBreak/>
        <w:t xml:space="preserve">The key distinction: </w:t>
      </w:r>
      <w:r>
        <w:t>Tier 2’s edge is governed action — not RDF reasoning. A metric layer can’t drive an action workflow; a triplestore is overkill for answering a merchandising question. Match the capability to the job.</w:t>
      </w:r>
    </w:p>
    <w:p w14:paraId="76011013" w14:textId="77777777" w:rsidR="0038480B" w:rsidRDefault="00000000">
      <w:pPr>
        <w:pStyle w:val="Heading1"/>
      </w:pPr>
      <w:r>
        <w:t>Part 4 · A retail decision map — match the use case to the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1700"/>
        <w:gridCol w:w="3100"/>
      </w:tblGrid>
      <w:tr w:rsidR="0038480B" w14:paraId="5E8B5F38" w14:textId="77777777">
        <w:tblPrEx>
          <w:tblCellMar>
            <w:top w:w="0" w:type="dxa"/>
            <w:bottom w:w="0" w:type="dxa"/>
          </w:tblCellMar>
        </w:tblPrEx>
        <w:trPr>
          <w:tblHeader/>
        </w:trPr>
        <w:tc>
          <w:tcPr>
            <w:tcW w:w="4560" w:type="dxa"/>
            <w:tcBorders>
              <w:top w:val="single" w:sz="1" w:space="0" w:color="CCCCCC"/>
              <w:left w:val="single" w:sz="1" w:space="0" w:color="CCCCCC"/>
              <w:bottom w:val="single" w:sz="1" w:space="0" w:color="CCCCCC"/>
              <w:right w:val="single" w:sz="1" w:space="0" w:color="CCCCCC"/>
            </w:tcBorders>
            <w:shd w:val="clear" w:color="auto" w:fill="24346B"/>
            <w:tcMar>
              <w:top w:w="60" w:type="dxa"/>
              <w:left w:w="100" w:type="dxa"/>
              <w:bottom w:w="60" w:type="dxa"/>
              <w:right w:w="100" w:type="dxa"/>
            </w:tcMar>
          </w:tcPr>
          <w:p w14:paraId="21D298EC" w14:textId="77777777" w:rsidR="0038480B" w:rsidRDefault="00000000">
            <w:pPr>
              <w:spacing w:line="248" w:lineRule="auto"/>
            </w:pPr>
            <w:r>
              <w:rPr>
                <w:b/>
                <w:bCs/>
                <w:color w:val="FFFFFF"/>
                <w:sz w:val="18"/>
                <w:szCs w:val="18"/>
              </w:rPr>
              <w:t>Retail use case</w:t>
            </w:r>
          </w:p>
        </w:tc>
        <w:tc>
          <w:tcPr>
            <w:tcW w:w="1700" w:type="dxa"/>
            <w:tcBorders>
              <w:top w:val="single" w:sz="1" w:space="0" w:color="CCCCCC"/>
              <w:left w:val="single" w:sz="1" w:space="0" w:color="CCCCCC"/>
              <w:bottom w:val="single" w:sz="1" w:space="0" w:color="CCCCCC"/>
              <w:right w:val="single" w:sz="1" w:space="0" w:color="CCCCCC"/>
            </w:tcBorders>
            <w:shd w:val="clear" w:color="auto" w:fill="24346B"/>
            <w:tcMar>
              <w:top w:w="60" w:type="dxa"/>
              <w:left w:w="100" w:type="dxa"/>
              <w:bottom w:w="60" w:type="dxa"/>
              <w:right w:w="100" w:type="dxa"/>
            </w:tcMar>
          </w:tcPr>
          <w:p w14:paraId="27415E7E" w14:textId="77777777" w:rsidR="0038480B" w:rsidRDefault="00000000">
            <w:pPr>
              <w:spacing w:line="248" w:lineRule="auto"/>
            </w:pPr>
            <w:r>
              <w:rPr>
                <w:b/>
                <w:bCs/>
                <w:color w:val="FFFFFF"/>
                <w:sz w:val="18"/>
                <w:szCs w:val="18"/>
              </w:rPr>
              <w:t>Right tier</w:t>
            </w:r>
          </w:p>
        </w:tc>
        <w:tc>
          <w:tcPr>
            <w:tcW w:w="3100" w:type="dxa"/>
            <w:tcBorders>
              <w:top w:val="single" w:sz="1" w:space="0" w:color="CCCCCC"/>
              <w:left w:val="single" w:sz="1" w:space="0" w:color="CCCCCC"/>
              <w:bottom w:val="single" w:sz="1" w:space="0" w:color="CCCCCC"/>
              <w:right w:val="single" w:sz="1" w:space="0" w:color="CCCCCC"/>
            </w:tcBorders>
            <w:shd w:val="clear" w:color="auto" w:fill="24346B"/>
            <w:tcMar>
              <w:top w:w="60" w:type="dxa"/>
              <w:left w:w="100" w:type="dxa"/>
              <w:bottom w:w="60" w:type="dxa"/>
              <w:right w:w="100" w:type="dxa"/>
            </w:tcMar>
          </w:tcPr>
          <w:p w14:paraId="11D2C990" w14:textId="77777777" w:rsidR="0038480B" w:rsidRDefault="00000000">
            <w:pPr>
              <w:spacing w:line="248" w:lineRule="auto"/>
            </w:pPr>
            <w:r>
              <w:rPr>
                <w:b/>
                <w:bCs/>
                <w:color w:val="FFFFFF"/>
                <w:sz w:val="18"/>
                <w:szCs w:val="18"/>
              </w:rPr>
              <w:t>Why</w:t>
            </w:r>
          </w:p>
        </w:tc>
      </w:tr>
      <w:tr w:rsidR="0038480B" w14:paraId="28C23A63"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D0D33E" w14:textId="77777777" w:rsidR="0038480B" w:rsidRDefault="00000000">
            <w:pPr>
              <w:spacing w:line="248" w:lineRule="auto"/>
            </w:pPr>
            <w:r>
              <w:rPr>
                <w:sz w:val="17"/>
                <w:szCs w:val="17"/>
              </w:rPr>
              <w:t>Store / sales / labor reporting; conversational BI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44BA95" w14:textId="77777777" w:rsidR="0038480B" w:rsidRDefault="00000000">
            <w:pPr>
              <w:spacing w:line="248" w:lineRule="auto"/>
            </w:pPr>
            <w:r>
              <w:rPr>
                <w:b/>
                <w:bCs/>
                <w:color w:val="1C7293"/>
                <w:sz w:val="16"/>
                <w:szCs w:val="16"/>
              </w:rPr>
              <w:t>Tier 1</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B69D6C" w14:textId="77777777" w:rsidR="0038480B" w:rsidRDefault="00000000">
            <w:pPr>
              <w:spacing w:line="248" w:lineRule="auto"/>
            </w:pPr>
            <w:r>
              <w:rPr>
                <w:sz w:val="17"/>
                <w:szCs w:val="17"/>
              </w:rPr>
              <w:t>Pure “answer a question” — a metric layer is enough</w:t>
            </w:r>
          </w:p>
        </w:tc>
      </w:tr>
      <w:tr w:rsidR="0038480B" w14:paraId="013BA1F0"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7ECF6"/>
            <w:tcMar>
              <w:top w:w="60" w:type="dxa"/>
              <w:left w:w="100" w:type="dxa"/>
              <w:bottom w:w="60" w:type="dxa"/>
              <w:right w:w="100" w:type="dxa"/>
            </w:tcMar>
          </w:tcPr>
          <w:p w14:paraId="3E46AF12" w14:textId="77777777" w:rsidR="0038480B" w:rsidRDefault="00000000">
            <w:pPr>
              <w:spacing w:line="248" w:lineRule="auto"/>
            </w:pPr>
            <w:r>
              <w:rPr>
                <w:sz w:val="17"/>
                <w:szCs w:val="17"/>
              </w:rPr>
              <w:t>Customer 360 / personalization / loyalty analytics</w:t>
            </w:r>
          </w:p>
        </w:tc>
        <w:tc>
          <w:tcPr>
            <w:tcW w:w="1700" w:type="dxa"/>
            <w:tcBorders>
              <w:top w:val="single" w:sz="1" w:space="0" w:color="CCCCCC"/>
              <w:left w:val="single" w:sz="1" w:space="0" w:color="CCCCCC"/>
              <w:bottom w:val="single" w:sz="1" w:space="0" w:color="CCCCCC"/>
              <w:right w:val="single" w:sz="1" w:space="0" w:color="CCCCCC"/>
            </w:tcBorders>
            <w:shd w:val="clear" w:color="auto" w:fill="E7ECF6"/>
            <w:tcMar>
              <w:top w:w="60" w:type="dxa"/>
              <w:left w:w="100" w:type="dxa"/>
              <w:bottom w:w="60" w:type="dxa"/>
              <w:right w:w="100" w:type="dxa"/>
            </w:tcMar>
          </w:tcPr>
          <w:p w14:paraId="38B72DD7" w14:textId="77777777" w:rsidR="0038480B" w:rsidRDefault="00000000">
            <w:pPr>
              <w:spacing w:line="248" w:lineRule="auto"/>
            </w:pPr>
            <w:r>
              <w:rPr>
                <w:b/>
                <w:bCs/>
                <w:color w:val="1C7293"/>
                <w:sz w:val="16"/>
                <w:szCs w:val="16"/>
              </w:rPr>
              <w:t>Tier 1</w:t>
            </w:r>
          </w:p>
        </w:tc>
        <w:tc>
          <w:tcPr>
            <w:tcW w:w="3100" w:type="dxa"/>
            <w:tcBorders>
              <w:top w:val="single" w:sz="1" w:space="0" w:color="CCCCCC"/>
              <w:left w:val="single" w:sz="1" w:space="0" w:color="CCCCCC"/>
              <w:bottom w:val="single" w:sz="1" w:space="0" w:color="CCCCCC"/>
              <w:right w:val="single" w:sz="1" w:space="0" w:color="CCCCCC"/>
            </w:tcBorders>
            <w:shd w:val="clear" w:color="auto" w:fill="E7ECF6"/>
            <w:tcMar>
              <w:top w:w="60" w:type="dxa"/>
              <w:left w:w="100" w:type="dxa"/>
              <w:bottom w:w="60" w:type="dxa"/>
              <w:right w:w="100" w:type="dxa"/>
            </w:tcMar>
          </w:tcPr>
          <w:p w14:paraId="666664F3" w14:textId="77777777" w:rsidR="0038480B" w:rsidRDefault="00000000">
            <w:pPr>
              <w:spacing w:line="248" w:lineRule="auto"/>
            </w:pPr>
            <w:r>
              <w:rPr>
                <w:sz w:val="17"/>
                <w:szCs w:val="17"/>
              </w:rPr>
              <w:t>Unification + metrics + CDP; not OWL reasoning despite “360” branding</w:t>
            </w:r>
          </w:p>
        </w:tc>
      </w:tr>
      <w:tr w:rsidR="0038480B" w14:paraId="64F592BD"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C017A0" w14:textId="77777777" w:rsidR="0038480B" w:rsidRDefault="00000000">
            <w:pPr>
              <w:spacing w:line="248" w:lineRule="auto"/>
            </w:pPr>
            <w:r>
              <w:rPr>
                <w:sz w:val="17"/>
                <w:szCs w:val="17"/>
              </w:rPr>
              <w:t>Real-time recommendations / offers at checkout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57521B" w14:textId="77777777" w:rsidR="0038480B" w:rsidRDefault="00000000">
            <w:pPr>
              <w:spacing w:line="248" w:lineRule="auto"/>
            </w:pPr>
            <w:r>
              <w:rPr>
                <w:b/>
                <w:bCs/>
                <w:color w:val="1C7293"/>
                <w:sz w:val="16"/>
                <w:szCs w:val="16"/>
              </w:rPr>
              <w:t>Tier 1</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F5BA36" w14:textId="77777777" w:rsidR="0038480B" w:rsidRDefault="00000000">
            <w:pPr>
              <w:spacing w:line="248" w:lineRule="auto"/>
            </w:pPr>
            <w:r>
              <w:rPr>
                <w:sz w:val="17"/>
                <w:szCs w:val="17"/>
              </w:rPr>
              <w:t>Feature-store / rec-engine problem, not an ontology problem</w:t>
            </w:r>
          </w:p>
        </w:tc>
      </w:tr>
      <w:tr w:rsidR="0038480B" w14:paraId="3DF4537E"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7ECF6"/>
            <w:tcMar>
              <w:top w:w="60" w:type="dxa"/>
              <w:left w:w="100" w:type="dxa"/>
              <w:bottom w:w="60" w:type="dxa"/>
              <w:right w:w="100" w:type="dxa"/>
            </w:tcMar>
          </w:tcPr>
          <w:p w14:paraId="3C0B56CB" w14:textId="77777777" w:rsidR="0038480B" w:rsidRDefault="00000000">
            <w:pPr>
              <w:spacing w:line="248" w:lineRule="auto"/>
            </w:pPr>
            <w:r>
              <w:rPr>
                <w:sz w:val="17"/>
                <w:szCs w:val="17"/>
              </w:rPr>
              <w:t>Product / PIM — item↔variant↔supplier↔price↔asset</w:t>
            </w:r>
          </w:p>
        </w:tc>
        <w:tc>
          <w:tcPr>
            <w:tcW w:w="1700" w:type="dxa"/>
            <w:tcBorders>
              <w:top w:val="single" w:sz="1" w:space="0" w:color="CCCCCC"/>
              <w:left w:val="single" w:sz="1" w:space="0" w:color="CCCCCC"/>
              <w:bottom w:val="single" w:sz="1" w:space="0" w:color="CCCCCC"/>
              <w:right w:val="single" w:sz="1" w:space="0" w:color="CCCCCC"/>
            </w:tcBorders>
            <w:shd w:val="clear" w:color="auto" w:fill="E7ECF6"/>
            <w:tcMar>
              <w:top w:w="60" w:type="dxa"/>
              <w:left w:w="100" w:type="dxa"/>
              <w:bottom w:w="60" w:type="dxa"/>
              <w:right w:w="100" w:type="dxa"/>
            </w:tcMar>
          </w:tcPr>
          <w:p w14:paraId="1A0D866F" w14:textId="77777777" w:rsidR="0038480B" w:rsidRDefault="00000000">
            <w:pPr>
              <w:spacing w:line="248" w:lineRule="auto"/>
            </w:pPr>
            <w:r>
              <w:rPr>
                <w:b/>
                <w:bCs/>
                <w:color w:val="6D2E5B"/>
                <w:sz w:val="16"/>
                <w:szCs w:val="16"/>
              </w:rPr>
              <w:t>Tier 1→2</w:t>
            </w:r>
          </w:p>
        </w:tc>
        <w:tc>
          <w:tcPr>
            <w:tcW w:w="3100" w:type="dxa"/>
            <w:tcBorders>
              <w:top w:val="single" w:sz="1" w:space="0" w:color="CCCCCC"/>
              <w:left w:val="single" w:sz="1" w:space="0" w:color="CCCCCC"/>
              <w:bottom w:val="single" w:sz="1" w:space="0" w:color="CCCCCC"/>
              <w:right w:val="single" w:sz="1" w:space="0" w:color="CCCCCC"/>
            </w:tcBorders>
            <w:shd w:val="clear" w:color="auto" w:fill="E7ECF6"/>
            <w:tcMar>
              <w:top w:w="60" w:type="dxa"/>
              <w:left w:w="100" w:type="dxa"/>
              <w:bottom w:w="60" w:type="dxa"/>
              <w:right w:w="100" w:type="dxa"/>
            </w:tcMar>
          </w:tcPr>
          <w:p w14:paraId="13EB1E41" w14:textId="77777777" w:rsidR="0038480B" w:rsidRDefault="00000000">
            <w:pPr>
              <w:spacing w:line="248" w:lineRule="auto"/>
            </w:pPr>
            <w:r>
              <w:rPr>
                <w:sz w:val="17"/>
                <w:szCs w:val="17"/>
              </w:rPr>
              <w:t>Relational + cross-domain; ontology helps if entity resolution + actions needed</w:t>
            </w:r>
          </w:p>
        </w:tc>
      </w:tr>
      <w:tr w:rsidR="0038480B" w14:paraId="5C1147C3"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3E53C" w14:textId="77777777" w:rsidR="0038480B" w:rsidRDefault="00000000">
            <w:pPr>
              <w:spacing w:line="248" w:lineRule="auto"/>
            </w:pPr>
            <w:r>
              <w:rPr>
                <w:sz w:val="17"/>
                <w:szCs w:val="17"/>
              </w:rPr>
              <w:t>Merchandising &amp; trade-promotion decisions (act, not chart)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EE0E2F" w14:textId="77777777" w:rsidR="0038480B" w:rsidRDefault="00000000">
            <w:pPr>
              <w:spacing w:line="248" w:lineRule="auto"/>
            </w:pPr>
            <w:r>
              <w:rPr>
                <w:b/>
                <w:bCs/>
                <w:color w:val="6D2E5B"/>
                <w:sz w:val="16"/>
                <w:szCs w:val="16"/>
              </w:rPr>
              <w:t>Tier 2</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2DD51" w14:textId="77777777" w:rsidR="0038480B" w:rsidRDefault="00000000">
            <w:pPr>
              <w:spacing w:line="248" w:lineRule="auto"/>
            </w:pPr>
            <w:r>
              <w:rPr>
                <w:sz w:val="17"/>
                <w:szCs w:val="17"/>
              </w:rPr>
              <w:t>Cross-system, and the output is a governed ACTION</w:t>
            </w:r>
          </w:p>
        </w:tc>
      </w:tr>
      <w:tr w:rsidR="0038480B" w14:paraId="0CC4DB99"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E7ECF6"/>
            <w:tcMar>
              <w:top w:w="60" w:type="dxa"/>
              <w:left w:w="100" w:type="dxa"/>
              <w:bottom w:w="60" w:type="dxa"/>
              <w:right w:w="100" w:type="dxa"/>
            </w:tcMar>
          </w:tcPr>
          <w:p w14:paraId="1DFAEDCA" w14:textId="77777777" w:rsidR="0038480B" w:rsidRDefault="00000000">
            <w:pPr>
              <w:spacing w:line="248" w:lineRule="auto"/>
            </w:pPr>
            <w:r>
              <w:rPr>
                <w:sz w:val="17"/>
                <w:szCs w:val="17"/>
              </w:rPr>
              <w:t>Supply-chain / inventory control tower (reroute, reorder)</w:t>
            </w:r>
          </w:p>
        </w:tc>
        <w:tc>
          <w:tcPr>
            <w:tcW w:w="1700" w:type="dxa"/>
            <w:tcBorders>
              <w:top w:val="single" w:sz="1" w:space="0" w:color="CCCCCC"/>
              <w:left w:val="single" w:sz="1" w:space="0" w:color="CCCCCC"/>
              <w:bottom w:val="single" w:sz="1" w:space="0" w:color="CCCCCC"/>
              <w:right w:val="single" w:sz="1" w:space="0" w:color="CCCCCC"/>
            </w:tcBorders>
            <w:shd w:val="clear" w:color="auto" w:fill="E7ECF6"/>
            <w:tcMar>
              <w:top w:w="60" w:type="dxa"/>
              <w:left w:w="100" w:type="dxa"/>
              <w:bottom w:w="60" w:type="dxa"/>
              <w:right w:w="100" w:type="dxa"/>
            </w:tcMar>
          </w:tcPr>
          <w:p w14:paraId="3E813214" w14:textId="77777777" w:rsidR="0038480B" w:rsidRDefault="00000000">
            <w:pPr>
              <w:spacing w:line="248" w:lineRule="auto"/>
            </w:pPr>
            <w:r>
              <w:rPr>
                <w:b/>
                <w:bCs/>
                <w:color w:val="6D2E5B"/>
                <w:sz w:val="16"/>
                <w:szCs w:val="16"/>
              </w:rPr>
              <w:t>Tier 2</w:t>
            </w:r>
          </w:p>
        </w:tc>
        <w:tc>
          <w:tcPr>
            <w:tcW w:w="3100" w:type="dxa"/>
            <w:tcBorders>
              <w:top w:val="single" w:sz="1" w:space="0" w:color="CCCCCC"/>
              <w:left w:val="single" w:sz="1" w:space="0" w:color="CCCCCC"/>
              <w:bottom w:val="single" w:sz="1" w:space="0" w:color="CCCCCC"/>
              <w:right w:val="single" w:sz="1" w:space="0" w:color="CCCCCC"/>
            </w:tcBorders>
            <w:shd w:val="clear" w:color="auto" w:fill="E7ECF6"/>
            <w:tcMar>
              <w:top w:w="60" w:type="dxa"/>
              <w:left w:w="100" w:type="dxa"/>
              <w:bottom w:w="60" w:type="dxa"/>
              <w:right w:w="100" w:type="dxa"/>
            </w:tcMar>
          </w:tcPr>
          <w:p w14:paraId="7D6AFEFB" w14:textId="77777777" w:rsidR="0038480B" w:rsidRDefault="00000000">
            <w:pPr>
              <w:spacing w:line="248" w:lineRule="auto"/>
            </w:pPr>
            <w:r>
              <w:rPr>
                <w:sz w:val="17"/>
                <w:szCs w:val="17"/>
              </w:rPr>
              <w:t>Flagship action case — fuse POS/WMS/3PL/supplier + real-time write-back</w:t>
            </w:r>
          </w:p>
        </w:tc>
      </w:tr>
      <w:tr w:rsidR="0038480B" w14:paraId="7C695917"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92C29" w14:textId="77777777" w:rsidR="0038480B" w:rsidRDefault="00000000">
            <w:pPr>
              <w:spacing w:line="248" w:lineRule="auto"/>
            </w:pPr>
            <w:r>
              <w:rPr>
                <w:sz w:val="17"/>
                <w:szCs w:val="17"/>
              </w:rPr>
              <w:t>Regulatory / formal logic across domains (rare in retail)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9007DA" w14:textId="77777777" w:rsidR="0038480B" w:rsidRDefault="00000000">
            <w:pPr>
              <w:spacing w:line="248" w:lineRule="auto"/>
            </w:pPr>
            <w:r>
              <w:rPr>
                <w:b/>
                <w:bCs/>
                <w:color w:val="9A6B00"/>
                <w:sz w:val="16"/>
                <w:szCs w:val="16"/>
              </w:rPr>
              <w:t>Tier 3</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89D97D" w14:textId="77777777" w:rsidR="0038480B" w:rsidRDefault="00000000">
            <w:pPr>
              <w:spacing w:line="248" w:lineRule="auto"/>
            </w:pPr>
            <w:r>
              <w:rPr>
                <w:sz w:val="17"/>
                <w:szCs w:val="17"/>
              </w:rPr>
              <w:t>Only when inference / machine-verifiable constraints are mandatory</w:t>
            </w:r>
          </w:p>
        </w:tc>
      </w:tr>
    </w:tbl>
    <w:p w14:paraId="708BB409" w14:textId="77777777" w:rsidR="0038480B" w:rsidRDefault="00000000">
      <w:pPr>
        <w:pStyle w:val="Heading1"/>
      </w:pPr>
      <w:r>
        <w:t>Part 5 · The retailer’s blueprint — five layers, only one is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50"/>
        <w:gridCol w:w="5260"/>
      </w:tblGrid>
      <w:tr w:rsidR="0038480B" w14:paraId="55AA7E04" w14:textId="77777777">
        <w:tblPrEx>
          <w:tblCellMar>
            <w:top w:w="0" w:type="dxa"/>
            <w:bottom w:w="0" w:type="dxa"/>
          </w:tblCellMar>
        </w:tblPrEx>
        <w:trPr>
          <w:tblHeader/>
        </w:trPr>
        <w:tc>
          <w:tcPr>
            <w:tcW w:w="1050" w:type="dxa"/>
            <w:tcBorders>
              <w:top w:val="single" w:sz="1" w:space="0" w:color="CCCCCC"/>
              <w:left w:val="single" w:sz="1" w:space="0" w:color="CCCCCC"/>
              <w:bottom w:val="single" w:sz="1" w:space="0" w:color="CCCCCC"/>
              <w:right w:val="single" w:sz="1" w:space="0" w:color="CCCCCC"/>
            </w:tcBorders>
            <w:shd w:val="clear" w:color="auto" w:fill="24346B"/>
            <w:tcMar>
              <w:top w:w="60" w:type="dxa"/>
              <w:left w:w="100" w:type="dxa"/>
              <w:bottom w:w="60" w:type="dxa"/>
              <w:right w:w="100" w:type="dxa"/>
            </w:tcMar>
          </w:tcPr>
          <w:p w14:paraId="3A86BC6C" w14:textId="77777777" w:rsidR="0038480B" w:rsidRDefault="00000000">
            <w:pPr>
              <w:spacing w:line="248" w:lineRule="auto"/>
            </w:pPr>
            <w:r>
              <w:rPr>
                <w:b/>
                <w:bCs/>
                <w:color w:val="FFFFFF"/>
                <w:sz w:val="18"/>
                <w:szCs w:val="18"/>
              </w:rPr>
              <w:t>Layer</w:t>
            </w:r>
          </w:p>
        </w:tc>
        <w:tc>
          <w:tcPr>
            <w:tcW w:w="3050" w:type="dxa"/>
            <w:tcBorders>
              <w:top w:val="single" w:sz="1" w:space="0" w:color="CCCCCC"/>
              <w:left w:val="single" w:sz="1" w:space="0" w:color="CCCCCC"/>
              <w:bottom w:val="single" w:sz="1" w:space="0" w:color="CCCCCC"/>
              <w:right w:val="single" w:sz="1" w:space="0" w:color="CCCCCC"/>
            </w:tcBorders>
            <w:shd w:val="clear" w:color="auto" w:fill="24346B"/>
            <w:tcMar>
              <w:top w:w="60" w:type="dxa"/>
              <w:left w:w="100" w:type="dxa"/>
              <w:bottom w:w="60" w:type="dxa"/>
              <w:right w:w="100" w:type="dxa"/>
            </w:tcMar>
          </w:tcPr>
          <w:p w14:paraId="5DF75E83" w14:textId="77777777" w:rsidR="0038480B" w:rsidRDefault="00000000">
            <w:pPr>
              <w:spacing w:line="248" w:lineRule="auto"/>
            </w:pPr>
            <w:r>
              <w:rPr>
                <w:b/>
                <w:bCs/>
                <w:color w:val="FFFFFF"/>
                <w:sz w:val="18"/>
                <w:szCs w:val="18"/>
              </w:rPr>
              <w:t>What it is</w:t>
            </w:r>
          </w:p>
        </w:tc>
        <w:tc>
          <w:tcPr>
            <w:tcW w:w="5260" w:type="dxa"/>
            <w:tcBorders>
              <w:top w:val="single" w:sz="1" w:space="0" w:color="CCCCCC"/>
              <w:left w:val="single" w:sz="1" w:space="0" w:color="CCCCCC"/>
              <w:bottom w:val="single" w:sz="1" w:space="0" w:color="CCCCCC"/>
              <w:right w:val="single" w:sz="1" w:space="0" w:color="CCCCCC"/>
            </w:tcBorders>
            <w:shd w:val="clear" w:color="auto" w:fill="24346B"/>
            <w:tcMar>
              <w:top w:w="60" w:type="dxa"/>
              <w:left w:w="100" w:type="dxa"/>
              <w:bottom w:w="60" w:type="dxa"/>
              <w:right w:w="100" w:type="dxa"/>
            </w:tcMar>
          </w:tcPr>
          <w:p w14:paraId="75F1BB47" w14:textId="77777777" w:rsidR="0038480B" w:rsidRDefault="00000000">
            <w:pPr>
              <w:spacing w:line="248" w:lineRule="auto"/>
            </w:pPr>
            <w:r>
              <w:rPr>
                <w:b/>
                <w:bCs/>
                <w:color w:val="FFFFFF"/>
                <w:sz w:val="18"/>
                <w:szCs w:val="18"/>
              </w:rPr>
              <w:t>Retail guidance</w:t>
            </w:r>
          </w:p>
        </w:tc>
      </w:tr>
      <w:tr w:rsidR="0038480B" w14:paraId="3C7BAAC4" w14:textId="77777777">
        <w:tblPrEx>
          <w:tblCellMar>
            <w:top w:w="0" w:type="dxa"/>
            <w:bottom w:w="0" w:type="dxa"/>
          </w:tblCellMar>
        </w:tblPrEx>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B13699" w14:textId="77777777" w:rsidR="0038480B" w:rsidRDefault="00000000">
            <w:pPr>
              <w:spacing w:line="248" w:lineRule="auto"/>
            </w:pPr>
            <w:r>
              <w:rPr>
                <w:b/>
                <w:bCs/>
                <w:color w:val="24346B"/>
                <w:sz w:val="18"/>
                <w:szCs w:val="18"/>
              </w:rPr>
              <w:t>1</w:t>
            </w:r>
          </w:p>
        </w:tc>
        <w:tc>
          <w:tcPr>
            <w:tcW w:w="3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84894" w14:textId="77777777" w:rsidR="0038480B" w:rsidRDefault="00000000">
            <w:pPr>
              <w:spacing w:line="248" w:lineRule="auto"/>
            </w:pPr>
            <w:r>
              <w:rPr>
                <w:b/>
                <w:bCs/>
                <w:sz w:val="17"/>
                <w:szCs w:val="17"/>
              </w:rPr>
              <w:t>Data + platform governance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5503B3" w14:textId="77777777" w:rsidR="0038480B" w:rsidRDefault="00000000">
            <w:pPr>
              <w:spacing w:line="248" w:lineRule="auto"/>
            </w:pPr>
            <w:r>
              <w:rPr>
                <w:sz w:val="17"/>
                <w:szCs w:val="17"/>
              </w:rPr>
              <w:t>Data stays in the lakehouse/warehouse; access, lineage, and PII (loyalty data!) enforced at source.</w:t>
            </w:r>
          </w:p>
        </w:tc>
      </w:tr>
      <w:tr w:rsidR="0038480B" w14:paraId="5B797411" w14:textId="77777777">
        <w:tblPrEx>
          <w:tblCellMar>
            <w:top w:w="0" w:type="dxa"/>
            <w:bottom w:w="0" w:type="dxa"/>
          </w:tblCellMar>
        </w:tblPrEx>
        <w:tc>
          <w:tcPr>
            <w:tcW w:w="1050" w:type="dxa"/>
            <w:tcBorders>
              <w:top w:val="single" w:sz="1" w:space="0" w:color="CCCCCC"/>
              <w:left w:val="single" w:sz="1" w:space="0" w:color="CCCCCC"/>
              <w:bottom w:val="single" w:sz="1" w:space="0" w:color="CCCCCC"/>
              <w:right w:val="single" w:sz="1" w:space="0" w:color="CCCCCC"/>
            </w:tcBorders>
            <w:shd w:val="clear" w:color="auto" w:fill="E7ECF6"/>
            <w:tcMar>
              <w:top w:w="60" w:type="dxa"/>
              <w:left w:w="100" w:type="dxa"/>
              <w:bottom w:w="60" w:type="dxa"/>
              <w:right w:w="100" w:type="dxa"/>
            </w:tcMar>
          </w:tcPr>
          <w:p w14:paraId="6F52F8A4" w14:textId="77777777" w:rsidR="0038480B" w:rsidRDefault="00000000">
            <w:pPr>
              <w:spacing w:line="248" w:lineRule="auto"/>
            </w:pPr>
            <w:r>
              <w:rPr>
                <w:b/>
                <w:bCs/>
                <w:color w:val="C8102E"/>
                <w:sz w:val="18"/>
                <w:szCs w:val="18"/>
              </w:rPr>
              <w:t>2</w:t>
            </w:r>
          </w:p>
        </w:tc>
        <w:tc>
          <w:tcPr>
            <w:tcW w:w="3050" w:type="dxa"/>
            <w:tcBorders>
              <w:top w:val="single" w:sz="1" w:space="0" w:color="CCCCCC"/>
              <w:left w:val="single" w:sz="1" w:space="0" w:color="CCCCCC"/>
              <w:bottom w:val="single" w:sz="1" w:space="0" w:color="CCCCCC"/>
              <w:right w:val="single" w:sz="1" w:space="0" w:color="CCCCCC"/>
            </w:tcBorders>
            <w:shd w:val="clear" w:color="auto" w:fill="E7ECF6"/>
            <w:tcMar>
              <w:top w:w="60" w:type="dxa"/>
              <w:left w:w="100" w:type="dxa"/>
              <w:bottom w:w="60" w:type="dxa"/>
              <w:right w:w="100" w:type="dxa"/>
            </w:tcMar>
          </w:tcPr>
          <w:p w14:paraId="5D19AACE" w14:textId="77777777" w:rsidR="0038480B" w:rsidRDefault="00000000">
            <w:pPr>
              <w:spacing w:line="248" w:lineRule="auto"/>
            </w:pPr>
            <w:r>
              <w:rPr>
                <w:b/>
                <w:bCs/>
                <w:color w:val="C8102E"/>
                <w:sz w:val="17"/>
                <w:szCs w:val="17"/>
              </w:rPr>
              <w:t>Governed semantic layer (the heart)</w:t>
            </w:r>
          </w:p>
        </w:tc>
        <w:tc>
          <w:tcPr>
            <w:tcW w:w="5260" w:type="dxa"/>
            <w:tcBorders>
              <w:top w:val="single" w:sz="1" w:space="0" w:color="CCCCCC"/>
              <w:left w:val="single" w:sz="1" w:space="0" w:color="CCCCCC"/>
              <w:bottom w:val="single" w:sz="1" w:space="0" w:color="CCCCCC"/>
              <w:right w:val="single" w:sz="1" w:space="0" w:color="CCCCCC"/>
            </w:tcBorders>
            <w:shd w:val="clear" w:color="auto" w:fill="E7ECF6"/>
            <w:tcMar>
              <w:top w:w="60" w:type="dxa"/>
              <w:left w:w="100" w:type="dxa"/>
              <w:bottom w:w="60" w:type="dxa"/>
              <w:right w:w="100" w:type="dxa"/>
            </w:tcMar>
          </w:tcPr>
          <w:p w14:paraId="3CBA8B29" w14:textId="77777777" w:rsidR="0038480B" w:rsidRDefault="00000000">
            <w:pPr>
              <w:spacing w:line="248" w:lineRule="auto"/>
            </w:pPr>
            <w:r>
              <w:rPr>
                <w:sz w:val="17"/>
                <w:szCs w:val="17"/>
              </w:rPr>
              <w:t>Metrics, dimensions, entities defined ONCE at the data/catalog layer — comp sales, GMROI, sell-through, active customer — not in the BI tool. Invest ~80% of effort here.</w:t>
            </w:r>
          </w:p>
        </w:tc>
      </w:tr>
      <w:tr w:rsidR="0038480B" w14:paraId="0E8E1296" w14:textId="77777777">
        <w:tblPrEx>
          <w:tblCellMar>
            <w:top w:w="0" w:type="dxa"/>
            <w:bottom w:w="0" w:type="dxa"/>
          </w:tblCellMar>
        </w:tblPrEx>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6697A6" w14:textId="77777777" w:rsidR="0038480B" w:rsidRDefault="00000000">
            <w:pPr>
              <w:spacing w:line="248" w:lineRule="auto"/>
            </w:pPr>
            <w:r>
              <w:rPr>
                <w:b/>
                <w:bCs/>
                <w:color w:val="24346B"/>
                <w:sz w:val="18"/>
                <w:szCs w:val="18"/>
              </w:rPr>
              <w:t>3</w:t>
            </w:r>
          </w:p>
        </w:tc>
        <w:tc>
          <w:tcPr>
            <w:tcW w:w="3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D4B596" w14:textId="77777777" w:rsidR="0038480B" w:rsidRDefault="00000000">
            <w:pPr>
              <w:spacing w:line="248" w:lineRule="auto"/>
            </w:pPr>
            <w:r>
              <w:rPr>
                <w:b/>
                <w:bCs/>
                <w:sz w:val="17"/>
                <w:szCs w:val="17"/>
              </w:rPr>
              <w:t>Interoperability format (OSI)</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47261D" w14:textId="77777777" w:rsidR="0038480B" w:rsidRDefault="00000000">
            <w:pPr>
              <w:spacing w:line="248" w:lineRule="auto"/>
            </w:pPr>
            <w:r>
              <w:rPr>
                <w:sz w:val="17"/>
                <w:szCs w:val="17"/>
              </w:rPr>
              <w:t>Author/export definitions in the OSI YAML spec so they’re portable and vendor-neutral across your stack.</w:t>
            </w:r>
          </w:p>
        </w:tc>
      </w:tr>
      <w:tr w:rsidR="0038480B" w14:paraId="2B15ABD1" w14:textId="77777777">
        <w:tblPrEx>
          <w:tblCellMar>
            <w:top w:w="0" w:type="dxa"/>
            <w:bottom w:w="0" w:type="dxa"/>
          </w:tblCellMar>
        </w:tblPrEx>
        <w:tc>
          <w:tcPr>
            <w:tcW w:w="1050" w:type="dxa"/>
            <w:tcBorders>
              <w:top w:val="single" w:sz="1" w:space="0" w:color="CCCCCC"/>
              <w:left w:val="single" w:sz="1" w:space="0" w:color="CCCCCC"/>
              <w:bottom w:val="single" w:sz="1" w:space="0" w:color="CCCCCC"/>
              <w:right w:val="single" w:sz="1" w:space="0" w:color="CCCCCC"/>
            </w:tcBorders>
            <w:shd w:val="clear" w:color="auto" w:fill="E7ECF6"/>
            <w:tcMar>
              <w:top w:w="60" w:type="dxa"/>
              <w:left w:w="100" w:type="dxa"/>
              <w:bottom w:w="60" w:type="dxa"/>
              <w:right w:w="100" w:type="dxa"/>
            </w:tcMar>
          </w:tcPr>
          <w:p w14:paraId="7B6BB51E" w14:textId="77777777" w:rsidR="0038480B" w:rsidRDefault="00000000">
            <w:pPr>
              <w:spacing w:line="248" w:lineRule="auto"/>
            </w:pPr>
            <w:r>
              <w:rPr>
                <w:b/>
                <w:bCs/>
                <w:color w:val="24346B"/>
                <w:sz w:val="18"/>
                <w:szCs w:val="18"/>
              </w:rPr>
              <w:t>4</w:t>
            </w:r>
          </w:p>
        </w:tc>
        <w:tc>
          <w:tcPr>
            <w:tcW w:w="3050" w:type="dxa"/>
            <w:tcBorders>
              <w:top w:val="single" w:sz="1" w:space="0" w:color="CCCCCC"/>
              <w:left w:val="single" w:sz="1" w:space="0" w:color="CCCCCC"/>
              <w:bottom w:val="single" w:sz="1" w:space="0" w:color="CCCCCC"/>
              <w:right w:val="single" w:sz="1" w:space="0" w:color="CCCCCC"/>
            </w:tcBorders>
            <w:shd w:val="clear" w:color="auto" w:fill="E7ECF6"/>
            <w:tcMar>
              <w:top w:w="60" w:type="dxa"/>
              <w:left w:w="100" w:type="dxa"/>
              <w:bottom w:w="60" w:type="dxa"/>
              <w:right w:w="100" w:type="dxa"/>
            </w:tcMar>
          </w:tcPr>
          <w:p w14:paraId="6E103BAD" w14:textId="77777777" w:rsidR="0038480B" w:rsidRDefault="00000000">
            <w:pPr>
              <w:spacing w:line="248" w:lineRule="auto"/>
            </w:pPr>
            <w:r>
              <w:rPr>
                <w:b/>
                <w:bCs/>
                <w:sz w:val="17"/>
                <w:szCs w:val="17"/>
              </w:rPr>
              <w:t>Serving + agent governance</w:t>
            </w:r>
          </w:p>
        </w:tc>
        <w:tc>
          <w:tcPr>
            <w:tcW w:w="5260" w:type="dxa"/>
            <w:tcBorders>
              <w:top w:val="single" w:sz="1" w:space="0" w:color="CCCCCC"/>
              <w:left w:val="single" w:sz="1" w:space="0" w:color="CCCCCC"/>
              <w:bottom w:val="single" w:sz="1" w:space="0" w:color="CCCCCC"/>
              <w:right w:val="single" w:sz="1" w:space="0" w:color="CCCCCC"/>
            </w:tcBorders>
            <w:shd w:val="clear" w:color="auto" w:fill="E7ECF6"/>
            <w:tcMar>
              <w:top w:w="60" w:type="dxa"/>
              <w:left w:w="100" w:type="dxa"/>
              <w:bottom w:w="60" w:type="dxa"/>
              <w:right w:w="100" w:type="dxa"/>
            </w:tcMar>
          </w:tcPr>
          <w:p w14:paraId="7FCE5EBE" w14:textId="77777777" w:rsidR="0038480B" w:rsidRDefault="00000000">
            <w:pPr>
              <w:spacing w:line="248" w:lineRule="auto"/>
            </w:pPr>
            <w:r>
              <w:rPr>
                <w:sz w:val="17"/>
                <w:szCs w:val="17"/>
              </w:rPr>
              <w:t>Expose to BI (governed views) and to AI over MCP, behind a gateway that controls which agents can act — essential once a pricing or reorder agent can move real money.</w:t>
            </w:r>
          </w:p>
        </w:tc>
      </w:tr>
      <w:tr w:rsidR="0038480B" w14:paraId="512B090F" w14:textId="77777777">
        <w:tblPrEx>
          <w:tblCellMar>
            <w:top w:w="0" w:type="dxa"/>
            <w:bottom w:w="0" w:type="dxa"/>
          </w:tblCellMar>
        </w:tblPrEx>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6D3016" w14:textId="77777777" w:rsidR="0038480B" w:rsidRDefault="00000000">
            <w:pPr>
              <w:spacing w:line="248" w:lineRule="auto"/>
            </w:pPr>
            <w:r>
              <w:rPr>
                <w:b/>
                <w:bCs/>
                <w:color w:val="9A6B00"/>
                <w:sz w:val="18"/>
                <w:szCs w:val="18"/>
              </w:rPr>
              <w:t>5</w:t>
            </w:r>
          </w:p>
        </w:tc>
        <w:tc>
          <w:tcPr>
            <w:tcW w:w="3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DAC0EA" w14:textId="77777777" w:rsidR="0038480B" w:rsidRDefault="00000000">
            <w:pPr>
              <w:spacing w:line="248" w:lineRule="auto"/>
            </w:pPr>
            <w:r>
              <w:rPr>
                <w:b/>
                <w:bCs/>
                <w:color w:val="9A6B00"/>
                <w:sz w:val="17"/>
                <w:szCs w:val="17"/>
              </w:rPr>
              <w:t>Operational / formal ontology (OPTIONAL)</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27B3D7" w14:textId="77777777" w:rsidR="0038480B" w:rsidRDefault="00000000">
            <w:pPr>
              <w:spacing w:line="248" w:lineRule="auto"/>
            </w:pPr>
            <w:r>
              <w:rPr>
                <w:sz w:val="17"/>
                <w:szCs w:val="17"/>
              </w:rPr>
              <w:t>Add a Tier-2 operational ontology only for genuinely action-oriented domains — supply-chain control tower, merchandising ops. Add Tier-3 RDF/OWL only for rare formal-logic needs.</w:t>
            </w:r>
          </w:p>
        </w:tc>
      </w:tr>
    </w:tbl>
    <w:p w14:paraId="7B076900" w14:textId="77777777" w:rsidR="0038480B" w:rsidRDefault="00000000">
      <w:pPr>
        <w:spacing w:before="110" w:after="140" w:line="268" w:lineRule="auto"/>
      </w:pPr>
      <w:r>
        <w:rPr>
          <w:b/>
          <w:bCs/>
          <w:color w:val="C8102E"/>
        </w:rPr>
        <w:t xml:space="preserve">The mistake most retailers make is starting at Layer 5. </w:t>
      </w:r>
      <w:r>
        <w:t>Start at Layer 2, standardize with 3, govern with 4, and reach for 5 only when a real, action-oriented use case forces it.</w:t>
      </w:r>
    </w:p>
    <w:p w14:paraId="66541C0F" w14:textId="77777777" w:rsidR="0038480B" w:rsidRDefault="00000000">
      <w:pPr>
        <w:pStyle w:val="Heading1"/>
      </w:pPr>
      <w:r>
        <w:t>The bottom line for retail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480B" w14:paraId="059D8FEA" w14:textId="77777777">
        <w:tblPrEx>
          <w:tblCellMar>
            <w:top w:w="0" w:type="dxa"/>
            <w:bottom w:w="0" w:type="dxa"/>
          </w:tblCellMar>
        </w:tblPrEx>
        <w:tc>
          <w:tcPr>
            <w:tcW w:w="9360" w:type="dxa"/>
            <w:tcBorders>
              <w:top w:val="single" w:sz="1" w:space="0" w:color="C8102E"/>
              <w:left w:val="single" w:sz="18" w:space="0" w:color="C8102E"/>
              <w:bottom w:val="single" w:sz="1" w:space="0" w:color="C8102E"/>
              <w:right w:val="single" w:sz="1" w:space="0" w:color="C8102E"/>
            </w:tcBorders>
            <w:shd w:val="clear" w:color="auto" w:fill="F7F4EF"/>
            <w:tcMar>
              <w:top w:w="120" w:type="dxa"/>
              <w:left w:w="200" w:type="dxa"/>
              <w:bottom w:w="120" w:type="dxa"/>
              <w:right w:w="160" w:type="dxa"/>
            </w:tcMar>
          </w:tcPr>
          <w:p w14:paraId="43C55D6A" w14:textId="77777777" w:rsidR="0038480B" w:rsidRDefault="00000000">
            <w:pPr>
              <w:spacing w:line="268" w:lineRule="auto"/>
            </w:pPr>
            <w:r>
              <w:rPr>
                <w:b/>
                <w:bCs/>
              </w:rPr>
              <w:t xml:space="preserve">You don’t need a triplestore — or a heavyweight ontology platform — to answer a merchandising question in a governed way. </w:t>
            </w:r>
            <w:r>
              <w:t xml:space="preserve">Build a governed </w:t>
            </w:r>
            <w:r>
              <w:rPr>
                <w:b/>
                <w:bCs/>
              </w:rPr>
              <w:t>metric/semantic layer</w:t>
            </w:r>
            <w:r>
              <w:t xml:space="preserve"> on the platform you already own, keep it portable with OSI, expose it over MCP behind a governance gateway. That covers ~80% </w:t>
            </w:r>
            <w:r>
              <w:lastRenderedPageBreak/>
              <w:t xml:space="preserve">of retail analytics and conversational AI. Reserve an </w:t>
            </w:r>
            <w:r>
              <w:rPr>
                <w:b/>
                <w:bCs/>
              </w:rPr>
              <w:t>operational ontology (Tier 2)</w:t>
            </w:r>
            <w:r>
              <w:t xml:space="preserve"> for the one or two genuinely action-oriented domains — supply-chain control tower and merchandising ops — where agents must act and write back. Match the tier to the verb: </w:t>
            </w:r>
            <w:r>
              <w:rPr>
                <w:b/>
                <w:bCs/>
              </w:rPr>
              <w:t>READ, ACT, or INFER.</w:t>
            </w:r>
          </w:p>
        </w:tc>
      </w:tr>
    </w:tbl>
    <w:p w14:paraId="08A6C6C6" w14:textId="77777777" w:rsidR="0038480B" w:rsidRDefault="00000000">
      <w:pPr>
        <w:spacing w:before="140" w:after="200" w:line="268" w:lineRule="auto"/>
      </w:pPr>
      <w:r>
        <w:lastRenderedPageBreak/>
        <w:t>Everyone is trying to build one context layer for retail BI and AI. The good news: the industry has largely agreed on how. Get the semantic layer right, keep it open, govern the agents — and treat the ontology debate as a targeted, use-case decision, not a platform you buy on day one.</w:t>
      </w:r>
    </w:p>
    <w:p w14:paraId="01244757" w14:textId="77777777" w:rsidR="0038480B" w:rsidRDefault="00000000">
      <w:pPr>
        <w:spacing w:after="140" w:line="268" w:lineRule="auto"/>
      </w:pPr>
      <w:r>
        <w:rPr>
          <w:b/>
          <w:bCs/>
          <w:color w:val="24346B"/>
        </w:rPr>
        <w:t>What’s your take — is your retail organization building this at the BI tool, the data platform, or reaching straight for an operational ontology? I’d love to hear what’s working (and what isn’t) in the comments.</w:t>
      </w:r>
    </w:p>
    <w:p w14:paraId="67D18AED" w14:textId="77777777" w:rsidR="0038480B" w:rsidRDefault="00000000">
      <w:pPr>
        <w:pStyle w:val="Heading1"/>
      </w:pPr>
      <w:r>
        <w:t>Suggested hashtags</w:t>
      </w:r>
    </w:p>
    <w:p w14:paraId="6CCB9A63" w14:textId="77777777" w:rsidR="0038480B" w:rsidRDefault="00000000">
      <w:pPr>
        <w:spacing w:after="140" w:line="268" w:lineRule="auto"/>
      </w:pPr>
      <w:r>
        <w:rPr>
          <w:b/>
          <w:bCs/>
          <w:color w:val="24346B"/>
        </w:rPr>
        <w:t>#RetailTech  #SemanticLayer  #DataAndAI  #EnterpriseAI  #DataGovernance  #AIAgents  #Ontology  #KnowledgeGraph  #ContextLayer  #MCP  #OpenSemanticInterchange  #SupplyChain  #Merchandising  #RetailAI  #DataStrategy</w:t>
      </w:r>
    </w:p>
    <w:p w14:paraId="59EEA9AC" w14:textId="77777777" w:rsidR="0038480B" w:rsidRDefault="00000000">
      <w:pPr>
        <w:pStyle w:val="Heading2"/>
      </w:pPr>
      <w:r>
        <w:t>Optional short hook (for the post text above the article)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480B" w14:paraId="193A1C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7ECF6"/>
            <w:tcMar>
              <w:top w:w="100" w:type="dxa"/>
              <w:left w:w="160" w:type="dxa"/>
              <w:bottom w:w="100" w:type="dxa"/>
              <w:right w:w="160" w:type="dxa"/>
            </w:tcMar>
          </w:tcPr>
          <w:p w14:paraId="33EFFFEE" w14:textId="77777777" w:rsidR="0038480B" w:rsidRDefault="00000000">
            <w:pPr>
              <w:spacing w:line="268" w:lineRule="auto"/>
            </w:pPr>
            <w:r>
              <w:t>“Every vendor and consultant is telling retailers they need an ‘ontology.’ It’s the buzzword of the year. But do you actually need one to govern AI agents — or just a good semantic layer? Here’s a retail decision map: when READ is enough, when you need ACT, and when INFER is worth the spend.”</w:t>
            </w:r>
          </w:p>
        </w:tc>
      </w:tr>
    </w:tbl>
    <w:p w14:paraId="655639E9" w14:textId="77777777" w:rsidR="0038480B" w:rsidRDefault="00000000">
      <w:pPr>
        <w:spacing w:before="180"/>
      </w:pPr>
      <w:r>
        <w:rPr>
          <w:color w:val="5C5C6B"/>
          <w:sz w:val="15"/>
          <w:szCs w:val="15"/>
        </w:rPr>
        <w:t>Sources: Snowflake (Semantic Views, Cortex Analyst, Verified Query Repository), Databricks (Unity Catalog Business Semantics, Metric Views, Genie, Unity AI Gateway), Microsoft (Fabric IQ Ontology, NL2Ontology), dbt (Semantic Layer / MetricFlow), Open Semantic Interchange, BCG “Your AI Won’t Scale Without a Shared Language” (2026). Compiled July 2026.</w:t>
      </w:r>
    </w:p>
    <w:sectPr w:rsidR="0038480B">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3CE07" w14:textId="77777777" w:rsidR="00C819E2" w:rsidRDefault="00C819E2">
      <w:r>
        <w:separator/>
      </w:r>
    </w:p>
  </w:endnote>
  <w:endnote w:type="continuationSeparator" w:id="0">
    <w:p w14:paraId="7BEB7B6C" w14:textId="77777777" w:rsidR="00C819E2" w:rsidRDefault="00C81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5A4A3" w14:textId="77777777" w:rsidR="0038480B" w:rsidRDefault="00000000">
    <w:pPr>
      <w:jc w:val="center"/>
    </w:pPr>
    <w:r>
      <w:rPr>
        <w:color w:val="5C5C6B"/>
        <w:sz w:val="15"/>
        <w:szCs w:val="15"/>
      </w:rPr>
      <w:t xml:space="preserve">LinkedIn article draft  ·  Page </w:t>
    </w:r>
    <w:r>
      <w:rPr>
        <w:color w:val="5C5C6B"/>
        <w:sz w:val="15"/>
        <w:szCs w:val="15"/>
      </w:rPr>
      <w:fldChar w:fldCharType="begin"/>
    </w:r>
    <w:r>
      <w:rPr>
        <w:color w:val="5C5C6B"/>
        <w:sz w:val="15"/>
        <w:szCs w:val="15"/>
      </w:rPr>
      <w:instrText>PAGE</w:instrText>
    </w:r>
    <w:r>
      <w:rPr>
        <w:color w:val="5C5C6B"/>
        <w:sz w:val="15"/>
        <w:szCs w:val="15"/>
      </w:rPr>
      <w:fldChar w:fldCharType="separate"/>
    </w:r>
    <w:r w:rsidR="007938CC">
      <w:rPr>
        <w:noProof/>
        <w:color w:val="5C5C6B"/>
        <w:sz w:val="15"/>
        <w:szCs w:val="15"/>
      </w:rPr>
      <w:t>1</w:t>
    </w:r>
    <w:r>
      <w:rPr>
        <w:color w:val="5C5C6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08ACD" w14:textId="77777777" w:rsidR="00C819E2" w:rsidRDefault="00C819E2">
      <w:r>
        <w:separator/>
      </w:r>
    </w:p>
  </w:footnote>
  <w:footnote w:type="continuationSeparator" w:id="0">
    <w:p w14:paraId="204CA7C3" w14:textId="77777777" w:rsidR="00C819E2" w:rsidRDefault="00C819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B0DB3"/>
    <w:multiLevelType w:val="hybridMultilevel"/>
    <w:tmpl w:val="68C4A092"/>
    <w:lvl w:ilvl="0" w:tplc="B29ED1CE">
      <w:start w:val="1"/>
      <w:numFmt w:val="bullet"/>
      <w:lvlText w:val="•"/>
      <w:lvlJc w:val="left"/>
      <w:pPr>
        <w:ind w:left="460" w:hanging="240"/>
      </w:pPr>
    </w:lvl>
    <w:lvl w:ilvl="1" w:tplc="85E88FD0">
      <w:start w:val="1"/>
      <w:numFmt w:val="bullet"/>
      <w:lvlText w:val="–"/>
      <w:lvlJc w:val="left"/>
      <w:pPr>
        <w:ind w:left="900" w:hanging="240"/>
      </w:pPr>
    </w:lvl>
    <w:lvl w:ilvl="2" w:tplc="B9346E3C">
      <w:numFmt w:val="decimal"/>
      <w:lvlText w:val=""/>
      <w:lvlJc w:val="left"/>
    </w:lvl>
    <w:lvl w:ilvl="3" w:tplc="77AEAE56">
      <w:numFmt w:val="decimal"/>
      <w:lvlText w:val=""/>
      <w:lvlJc w:val="left"/>
    </w:lvl>
    <w:lvl w:ilvl="4" w:tplc="9502E092">
      <w:numFmt w:val="decimal"/>
      <w:lvlText w:val=""/>
      <w:lvlJc w:val="left"/>
    </w:lvl>
    <w:lvl w:ilvl="5" w:tplc="EDC05E32">
      <w:numFmt w:val="decimal"/>
      <w:lvlText w:val=""/>
      <w:lvlJc w:val="left"/>
    </w:lvl>
    <w:lvl w:ilvl="6" w:tplc="0C509650">
      <w:numFmt w:val="decimal"/>
      <w:lvlText w:val=""/>
      <w:lvlJc w:val="left"/>
    </w:lvl>
    <w:lvl w:ilvl="7" w:tplc="2266E508">
      <w:numFmt w:val="decimal"/>
      <w:lvlText w:val=""/>
      <w:lvlJc w:val="left"/>
    </w:lvl>
    <w:lvl w:ilvl="8" w:tplc="FB66FD7A">
      <w:numFmt w:val="decimal"/>
      <w:lvlText w:val=""/>
      <w:lvlJc w:val="left"/>
    </w:lvl>
  </w:abstractNum>
  <w:abstractNum w:abstractNumId="1" w15:restartNumberingAfterBreak="0">
    <w:nsid w:val="75E640E7"/>
    <w:multiLevelType w:val="hybridMultilevel"/>
    <w:tmpl w:val="40821B6A"/>
    <w:lvl w:ilvl="0" w:tplc="3A2CF888">
      <w:start w:val="1"/>
      <w:numFmt w:val="bullet"/>
      <w:lvlText w:val="●"/>
      <w:lvlJc w:val="left"/>
      <w:pPr>
        <w:ind w:left="720" w:hanging="360"/>
      </w:pPr>
    </w:lvl>
    <w:lvl w:ilvl="1" w:tplc="3EEA19A2">
      <w:start w:val="1"/>
      <w:numFmt w:val="bullet"/>
      <w:lvlText w:val="○"/>
      <w:lvlJc w:val="left"/>
      <w:pPr>
        <w:ind w:left="1440" w:hanging="360"/>
      </w:pPr>
    </w:lvl>
    <w:lvl w:ilvl="2" w:tplc="B05C2D42">
      <w:start w:val="1"/>
      <w:numFmt w:val="bullet"/>
      <w:lvlText w:val="■"/>
      <w:lvlJc w:val="left"/>
      <w:pPr>
        <w:ind w:left="2160" w:hanging="360"/>
      </w:pPr>
    </w:lvl>
    <w:lvl w:ilvl="3" w:tplc="88326E90">
      <w:start w:val="1"/>
      <w:numFmt w:val="bullet"/>
      <w:lvlText w:val="●"/>
      <w:lvlJc w:val="left"/>
      <w:pPr>
        <w:ind w:left="2880" w:hanging="360"/>
      </w:pPr>
    </w:lvl>
    <w:lvl w:ilvl="4" w:tplc="FB929E28">
      <w:start w:val="1"/>
      <w:numFmt w:val="bullet"/>
      <w:lvlText w:val="○"/>
      <w:lvlJc w:val="left"/>
      <w:pPr>
        <w:ind w:left="3600" w:hanging="360"/>
      </w:pPr>
    </w:lvl>
    <w:lvl w:ilvl="5" w:tplc="0F58E672">
      <w:start w:val="1"/>
      <w:numFmt w:val="bullet"/>
      <w:lvlText w:val="■"/>
      <w:lvlJc w:val="left"/>
      <w:pPr>
        <w:ind w:left="4320" w:hanging="360"/>
      </w:pPr>
    </w:lvl>
    <w:lvl w:ilvl="6" w:tplc="464AEBD8">
      <w:start w:val="1"/>
      <w:numFmt w:val="bullet"/>
      <w:lvlText w:val="●"/>
      <w:lvlJc w:val="left"/>
      <w:pPr>
        <w:ind w:left="5040" w:hanging="360"/>
      </w:pPr>
    </w:lvl>
    <w:lvl w:ilvl="7" w:tplc="3ED8445E">
      <w:start w:val="1"/>
      <w:numFmt w:val="bullet"/>
      <w:lvlText w:val="●"/>
      <w:lvlJc w:val="left"/>
      <w:pPr>
        <w:ind w:left="5760" w:hanging="360"/>
      </w:pPr>
    </w:lvl>
    <w:lvl w:ilvl="8" w:tplc="19D2E6E0">
      <w:start w:val="1"/>
      <w:numFmt w:val="bullet"/>
      <w:lvlText w:val="●"/>
      <w:lvlJc w:val="left"/>
      <w:pPr>
        <w:ind w:left="6480" w:hanging="360"/>
      </w:pPr>
    </w:lvl>
  </w:abstractNum>
  <w:num w:numId="1" w16cid:durableId="1196311062">
    <w:abstractNumId w:val="1"/>
    <w:lvlOverride w:ilvl="0">
      <w:startOverride w:val="1"/>
    </w:lvlOverride>
  </w:num>
  <w:num w:numId="2" w16cid:durableId="783580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80B"/>
    <w:rsid w:val="0038480B"/>
    <w:rsid w:val="007938CC"/>
    <w:rsid w:val="009F1B0D"/>
    <w:rsid w:val="00C81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3AB77"/>
  <w15:docId w15:val="{8EE2D9FF-7BD9-4E9E-A510-D17D0EDB7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1E2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C8102E"/>
      </w:pBdr>
      <w:spacing w:before="300" w:after="130"/>
      <w:outlineLvl w:val="0"/>
    </w:pPr>
    <w:rPr>
      <w:b/>
      <w:bCs/>
      <w:color w:val="24346B"/>
      <w:sz w:val="28"/>
      <w:szCs w:val="28"/>
    </w:rPr>
  </w:style>
  <w:style w:type="paragraph" w:styleId="Heading2">
    <w:name w:val="heading 2"/>
    <w:uiPriority w:val="9"/>
    <w:unhideWhenUsed/>
    <w:qFormat/>
    <w:pPr>
      <w:spacing w:before="200" w:after="90"/>
      <w:outlineLvl w:val="1"/>
    </w:pPr>
    <w:rPr>
      <w:b/>
      <w:bCs/>
      <w:color w:val="C8102E"/>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aabfc0d-38d5-4801-9e82-1226fde31efa}" enabled="1" method="Standard" siteId="{404b1967-6507-45ab-8a6d-7374a3f478be}"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5</Pages>
  <Words>1784</Words>
  <Characters>9817</Characters>
  <Application>Microsoft Office Word</Application>
  <DocSecurity>0</DocSecurity>
  <Lines>223</Lines>
  <Paragraphs>145</Paragraphs>
  <ScaleCrop>false</ScaleCrop>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Retail Context Layer</dc:title>
  <dc:creator>G Krishna</dc:creator>
  <cp:lastModifiedBy>G Krishna</cp:lastModifiedBy>
  <cp:revision>2</cp:revision>
  <dcterms:created xsi:type="dcterms:W3CDTF">2026-07-22T17:18:00Z</dcterms:created>
  <dcterms:modified xsi:type="dcterms:W3CDTF">2026-07-22T17:34:00Z</dcterms:modified>
</cp:coreProperties>
</file>