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F75B5" w:sz="26" w:space="1"/>
        </w:pBdr>
        <w:spacing w:after="250" w:before="1500"/>
        <w:jc w:val="left"/>
      </w:pPr>
      <w:r>
        <w:rPr>
          <w:rFonts w:ascii="Arial" w:cs="Arial" w:eastAsia="Arial" w:hAnsi="Arial"/>
          <w:b/>
          <w:bCs/>
          <w:color w:val="17365D"/>
          <w:sz w:val="54"/>
          <w:szCs w:val="54"/>
        </w:rPr>
        <w:t xml:space="preserve">DESI Evidence Review Packet</w:t>
      </w:r>
    </w:p>
    <w:p>
      <w:pPr>
        <w:spacing w:after="900"/>
      </w:pPr>
      <w:r>
        <w:rPr>
          <w:rFonts w:ascii="Arial" w:cs="Arial" w:eastAsia="Arial" w:hAnsi="Arial"/>
          <w:color w:val="2F75B5"/>
          <w:sz w:val="28"/>
          <w:szCs w:val="28"/>
        </w:rPr>
        <w:t xml:space="preserve">Manuscript, reproduction, and verification guide</w:t>
      </w:r>
    </w:p>
    <w:p>
      <w:pPr>
        <w:spacing w:after="160"/>
      </w:pPr>
      <w:r>
        <w:rPr>
          <w:color w:val="202B36"/>
          <w:sz w:val="21"/>
          <w:szCs w:val="21"/>
        </w:rPr>
        <w:t xml:space="preserve">Bobby Morong · Independent researcher · Prepared 2026-08-09</w:t>
      </w:r>
    </w:p>
    <w:p>
      <w:pPr>
        <w:spacing w:after="700"/>
      </w:pPr>
      <w:r>
        <w:rPr>
          <w:b/>
          <w:bCs/>
          <w:color w:val="5F6B76"/>
          <w:sz w:val="19"/>
          <w:szCs w:val="19"/>
        </w:rPr>
        <w:t xml:space="preserve">Independent review packet • August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F75B5" w:sz="3"/>
              <w:left w:val="single" w:color="2F75B5" w:sz="3"/>
              <w:bottom w:val="single" w:color="2F75B5" w:sz="3"/>
              <w:right w:val="single" w:color="2F75B5" w:sz="3"/>
            </w:tcBorders>
            <w:shd w:fill="D9EAF7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REVIEW STATUS</w:t>
            </w:r>
          </w:p>
          <w:p>
            <w:pPr>
              <w:spacing w:after="80"/>
            </w:pPr>
            <w:r>
              <w:rPr>
                <w:b/>
                <w:bCs/>
                <w:color w:val="202B36"/>
                <w:sz w:val="22"/>
                <w:szCs w:val="22"/>
              </w:rPr>
              <w:t xml:space="preserve">Independent error-finding and numerical verification requested. No endorsement is claimed.</w:t>
            </w:r>
          </w:p>
          <w:p>
            <w:pPr>
              <w:spacing w:after="0"/>
            </w:pPr>
            <w:r>
              <w:rPr>
                <w:color w:val="202B36"/>
                <w:sz w:val="18"/>
                <w:szCs w:val="18"/>
              </w:rPr>
              <w:t xml:space="preserve">Covers numerical reproduction, statistical calibration, domain framing, manuscript scope, and explicit open gates.</w:t>
            </w:r>
          </w:p>
        </w:tc>
      </w:tr>
    </w:tbl>
    <w:p>
      <w:pPr>
        <w:spacing w:after="0" w:before="800"/>
      </w:pPr>
      <w:r>
        <w:rPr>
          <w:i/>
          <w:iCs/>
          <w:color w:val="5F6B76"/>
          <w:sz w:val="17"/>
          <w:szCs w:val="17"/>
        </w:rPr>
        <w:t xml:space="preserve">Prepared from the reconciled manuscript and released evidence manifest. External review remains pending.</w:t>
      </w:r>
    </w:p>
    <w:p>
      <w:r>
        <w:br w:type="page"/>
      </w:r>
    </w:p>
    <w:p>
      <w:pPr>
        <w:pStyle w:val="Heading1"/>
        <w:keepNext/>
      </w:pPr>
      <w:r>
        <w:t xml:space="preserve">Review purpose</w:t>
      </w:r>
    </w:p>
    <w:p>
      <w:pPr>
        <w:widowControl/>
        <w:jc w:val="both"/>
      </w:pPr>
      <w:r>
        <w:t xml:space="preserve">This packet supports independent evaluation of “Anatomy of a 2–3σ Hint,” an implementation and stress test of published DESI DR2 compressed likelihoods. The central question is whether the reported numerical results, statistical calibrations, and interpretation are internally correct and appropriately bounded.</w:t>
      </w:r>
    </w:p>
    <w:p>
      <w:pPr>
        <w:widowControl/>
        <w:jc w:val="both"/>
      </w:pPr>
      <w:r>
        <w:t xml:space="preserve">The work is not a raw-data reanalysis, and an independent human clean-room execution remains pending. AI-assisted software and manuscript checks are disclosed but are not treated as scientific peer review.</w:t>
      </w:r>
    </w:p>
    <w:p>
      <w:pPr>
        <w:pStyle w:val="Heading1"/>
        <w:keepNext/>
      </w:pPr>
      <w:r>
        <w:t xml:space="preserve">Requested review lanes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4631"/>
        <w:gridCol w:w="4360"/>
      </w:tblGrid>
      <w:tr>
        <w:trPr>
          <w:cantSplit/>
          <w:tblHeader/>
        </w:trPr>
        <w:tc>
          <w:tcPr>
            <w:tcW w:type="dxa" w:w="1089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17365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Lane</w:t>
            </w:r>
          </w:p>
        </w:tc>
        <w:tc>
          <w:tcPr>
            <w:tcW w:type="dxa" w:w="4631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17365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Best-fit reviewer</w:t>
            </w:r>
          </w:p>
        </w:tc>
        <w:tc>
          <w:tcPr>
            <w:tcW w:type="dxa" w:w="436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17365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Requested output</w:t>
            </w:r>
          </w:p>
        </w:tc>
      </w:tr>
      <w:tr>
        <w:trPr>
          <w:cantSplit/>
          <w:tblHeader w:val="false"/>
        </w:trPr>
        <w:tc>
          <w:tcPr>
            <w:tcW w:type="dxa" w:w="1089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Numerical reproduction</w:t>
            </w:r>
          </w:p>
        </w:tc>
        <w:tc>
          <w:tcPr>
            <w:tcW w:type="dxa" w:w="4631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Scientific software developer or computational cosmologist</w:t>
            </w:r>
          </w:p>
        </w:tc>
        <w:tc>
          <w:tcPr>
            <w:tcW w:type="dxa" w:w="436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Fresh-environment run record, hashes, mismatches, convergence notes</w:t>
            </w:r>
          </w:p>
        </w:tc>
      </w:tr>
      <w:tr>
        <w:trPr>
          <w:cantSplit/>
          <w:tblHeader w:val="false"/>
        </w:trPr>
        <w:tc>
          <w:tcPr>
            <w:tcW w:type="dxa" w:w="1089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Statistical review</w:t>
            </w:r>
          </w:p>
        </w:tc>
        <w:tc>
          <w:tcPr>
            <w:tcW w:type="dxa" w:w="4631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Statistician or cosmologist familiar with likelihood-ratio calibration</w:t>
            </w:r>
          </w:p>
        </w:tc>
        <w:tc>
          <w:tcPr>
            <w:tcW w:type="dxa" w:w="436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Assessment of null construction, selection conditioning, intervals, and interpretation</w:t>
            </w:r>
          </w:p>
        </w:tc>
      </w:tr>
      <w:tr>
        <w:trPr>
          <w:cantSplit/>
          <w:tblHeader w:val="false"/>
        </w:trPr>
        <w:tc>
          <w:tcPr>
            <w:tcW w:type="dxa" w:w="1089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Domain review</w:t>
            </w:r>
          </w:p>
        </w:tc>
        <w:tc>
          <w:tcPr>
            <w:tcW w:type="dxa" w:w="4631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BAO/CMB/SN cosmologist</w:t>
            </w:r>
          </w:p>
        </w:tc>
        <w:tc>
          <w:tcPr>
            <w:tcW w:type="dxa" w:w="436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Scope, data provenance, comparison framing, and missing native-likelihood checks</w:t>
            </w:r>
          </w:p>
        </w:tc>
      </w:tr>
      <w:tr>
        <w:trPr>
          <w:cantSplit/>
          <w:tblHeader w:val="false"/>
        </w:trPr>
        <w:tc>
          <w:tcPr>
            <w:tcW w:type="dxa" w:w="1089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Manuscript review</w:t>
            </w:r>
          </w:p>
        </w:tc>
        <w:tc>
          <w:tcPr>
            <w:tcW w:type="dxa" w:w="4631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Technical scientific editor or journal-experienced researcher</w:t>
            </w:r>
          </w:p>
        </w:tc>
        <w:tc>
          <w:tcPr>
            <w:tcW w:type="dxa" w:w="436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Errors, ambiguous claims, missing citations, and presentation recommendations</w:t>
            </w:r>
          </w:p>
        </w:tc>
      </w:tr>
    </w:tbl>
    <w:p>
      <w:pPr>
        <w:spacing w:after="90"/>
      </w:pPr>
    </w:p>
    <w:p>
      <w:pPr>
        <w:pStyle w:val="Heading1"/>
        <w:keepNext/>
      </w:pPr>
      <w:r>
        <w:t xml:space="preserve">Headline evidence ledger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3"/>
        <w:gridCol w:w="3286"/>
        <w:gridCol w:w="5041"/>
      </w:tblGrid>
      <w:tr>
        <w:trPr>
          <w:cantSplit/>
          <w:tblHeader/>
        </w:trPr>
        <w:tc>
          <w:tcPr>
            <w:tcW w:type="dxa" w:w="1753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17365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type="dxa" w:w="3286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17365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Released result</w:t>
            </w:r>
          </w:p>
        </w:tc>
        <w:tc>
          <w:tcPr>
            <w:tcW w:type="dxa" w:w="5041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17365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Interpretation boundary</w:t>
            </w:r>
          </w:p>
        </w:tc>
      </w:tr>
      <w:tr>
        <w:trPr>
          <w:cantSplit/>
          <w:tblHeader w:val="false"/>
        </w:trPr>
        <w:tc>
          <w:tcPr>
            <w:tcW w:type="dxa" w:w="1753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Global CPL preference</w:t>
            </w:r>
          </w:p>
        </w:tc>
        <w:tc>
          <w:tcPr>
            <w:tcW w:type="dxa" w:w="3286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Δχ² = −8.4575; 70/5,000 ΛCDM mocks, p = 0.0140</w:t>
            </w:r>
          </w:p>
        </w:tc>
        <w:tc>
          <w:tcPr>
            <w:tcW w:type="dxa" w:w="5041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A calibrated hint, not a discovery</w:t>
            </w:r>
          </w:p>
        </w:tc>
      </w:tr>
      <w:tr>
        <w:trPr>
          <w:cantSplit/>
          <w:tblHeader w:val="false"/>
        </w:trPr>
        <w:tc>
          <w:tcPr>
            <w:tcW w:type="dxa" w:w="1753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Selected tracer influence</w:t>
            </w:r>
          </w:p>
        </w:tc>
        <w:tc>
          <w:tcPr>
            <w:tcW w:type="dxa" w:w="3286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LRG2, M = 4.1249; 78/5,000, p = 0.0156</w:t>
            </w:r>
          </w:p>
        </w:tc>
        <w:tc>
          <w:tcPr>
            <w:tcW w:type="dxa" w:w="5041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Describes localization after selection</w:t>
            </w:r>
          </w:p>
        </w:tc>
      </w:tr>
      <w:tr>
        <w:trPr>
          <w:cantSplit/>
          <w:tblHeader w:val="false"/>
        </w:trPr>
        <w:tc>
          <w:tcPr>
            <w:tcW w:type="dxa" w:w="1753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Conditional localization</w:t>
            </w:r>
          </w:p>
        </w:tc>
        <w:tc>
          <w:tcPr>
            <w:tcW w:type="dxa" w:w="3286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34/70, p = 0.486</w:t>
            </w:r>
          </w:p>
        </w:tc>
        <w:tc>
          <w:tcPr>
            <w:tcW w:type="dxa" w:w="5041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Localization is not independent extra evidence</w:t>
            </w:r>
          </w:p>
        </w:tc>
      </w:tr>
      <w:tr>
        <w:trPr>
          <w:cantSplit/>
          <w:tblHeader w:val="false"/>
        </w:trPr>
        <w:tc>
          <w:tcPr>
            <w:tcW w:type="dxa" w:w="1753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Direct time variation</w:t>
            </w:r>
          </w:p>
        </w:tc>
        <w:tc>
          <w:tcPr>
            <w:tcW w:type="dxa" w:w="3286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T = 7.8506; 30/5,000, p = 0.0060</w:t>
            </w:r>
          </w:p>
        </w:tc>
        <w:tc>
          <w:tcPr>
            <w:tcW w:type="dxa" w:w="5041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CPL-specific; not arbitrary time dependence</w:t>
            </w:r>
          </w:p>
        </w:tc>
      </w:tr>
      <w:tr>
        <w:trPr>
          <w:cantSplit/>
          <w:tblHeader w:val="false"/>
        </w:trPr>
        <w:tc>
          <w:tcPr>
            <w:tcW w:type="dxa" w:w="1753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Direct test without LRG2</w:t>
            </w:r>
          </w:p>
        </w:tc>
        <w:tc>
          <w:tcPr>
            <w:tcW w:type="dxa" w:w="3286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T = 3.4263; 349/5,000, p = 0.0698</w:t>
            </w:r>
          </w:p>
        </w:tc>
        <w:tc>
          <w:tcPr>
            <w:tcW w:type="dxa" w:w="5041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Most strength is LRG2-sensitive</w:t>
            </w:r>
          </w:p>
        </w:tc>
      </w:tr>
      <w:tr>
        <w:trPr>
          <w:cantSplit/>
          <w:tblHeader w:val="false"/>
        </w:trPr>
        <w:tc>
          <w:tcPr>
            <w:tcW w:type="dxa" w:w="1753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Held-out LRG2</w:t>
            </w:r>
          </w:p>
        </w:tc>
        <w:tc>
          <w:tcPr>
            <w:tcW w:type="dxa" w:w="3286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joint p = 0.0408; D_V p = 0.0204; D_M/D_H p = 0.3744</w:t>
            </w:r>
          </w:p>
        </w:tc>
        <w:tc>
          <w:tcPr>
            <w:tcW w:type="dxa" w:w="5041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Targeted diagnostic, not an independent discovery test</w:t>
            </w:r>
          </w:p>
        </w:tc>
      </w:tr>
      <w:tr>
        <w:trPr>
          <w:cantSplit/>
          <w:tblHeader w:val="false"/>
        </w:trPr>
        <w:tc>
          <w:tcPr>
            <w:tcW w:type="dxa" w:w="1753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Full-CMB variant</w:t>
            </w:r>
          </w:p>
        </w:tc>
        <w:tc>
          <w:tcPr>
            <w:tcW w:type="dxa" w:w="3286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Δχ² = −10.35 with LRG2; −3.76 without</w:t>
            </w:r>
          </w:p>
        </w:tc>
        <w:tc>
          <w:tcPr>
            <w:tcW w:type="dxa" w:w="5041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PR3-native comparison stack, not DESI’s exact PR4/ACT stack</w:t>
            </w:r>
          </w:p>
        </w:tc>
      </w:tr>
    </w:tbl>
    <w:p>
      <w:pPr>
        <w:spacing w:after="90"/>
      </w:pPr>
    </w:p>
    <w:p>
      <w:pPr>
        <w:pStyle w:val="Heading1"/>
        <w:keepNext/>
      </w:pPr>
      <w:r>
        <w:t xml:space="preserve">Reproduction sequence</w:t>
      </w:r>
    </w:p>
    <w:p>
      <w:pPr>
        <w:pStyle w:val="ListParagraph"/>
        <w:numPr>
          <w:ilvl w:val="0"/>
          <w:numId w:val="2"/>
        </w:numPr>
      </w:pPr>
      <w:r>
        <w:t xml:space="preserve">Record the repository commit, platform, Python version, package versions, UTC start time, and clean Git status.</w:t>
      </w:r>
    </w:p>
    <w:p>
      <w:pPr>
        <w:pStyle w:val="ListParagraph"/>
        <w:numPr>
          <w:ilvl w:val="0"/>
          <w:numId w:val="2"/>
        </w:numPr>
      </w:pPr>
      <w:r>
        <w:t xml:space="preserve">Follow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cleanroom/README.md</w:t>
      </w:r>
      <w:r>
        <w:t xml:space="preserve"> without reading expected result files.</w:t>
      </w:r>
    </w:p>
    <w:p>
      <w:pPr>
        <w:pStyle w:val="ListParagraph"/>
        <w:numPr>
          <w:ilvl w:val="0"/>
          <w:numId w:val="2"/>
        </w:numPr>
      </w:pPr>
      <w:r>
        <w:t xml:space="preserve">Run the deterministic 20-mock smoke test twice and compare hashes.</w:t>
      </w:r>
    </w:p>
    <w:p>
      <w:pPr>
        <w:pStyle w:val="ListParagraph"/>
        <w:numPr>
          <w:ilvl w:val="0"/>
          <w:numId w:val="2"/>
        </w:numPr>
      </w:pPr>
      <w:r>
        <w:t xml:space="preserve">Run the 5,000-mock flagship calibration and complete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cleanroom/VERIFIER_WORKSHEET.md</w:t>
      </w:r>
      <w:r>
        <w:t xml:space="preserve"> before opening the expected results.</w:t>
      </w:r>
    </w:p>
    <w:p>
      <w:pPr>
        <w:pStyle w:val="ListParagraph"/>
        <w:numPr>
          <w:ilvl w:val="0"/>
          <w:numId w:val="2"/>
        </w:numPr>
      </w:pPr>
      <w:r>
        <w:t xml:space="preserve">Run the frontier package for the full/no-LRG2 direct tests and the held-out LRG2 diagnostic.</w:t>
      </w:r>
    </w:p>
    <w:p>
      <w:pPr>
        <w:pStyle w:val="ListParagraph"/>
        <w:numPr>
          <w:ilvl w:val="0"/>
          <w:numId w:val="2"/>
        </w:numPr>
      </w:pPr>
      <w:r>
        <w:t xml:space="preserve">Report every mismatch, convergence failure, platform-dependent last-bit difference, changed input, or changed command.</w:t>
      </w:r>
    </w:p>
    <w:p>
      <w:pPr>
        <w:pStyle w:val="Heading1"/>
        <w:keepNext/>
      </w:pPr>
      <w:r>
        <w:t xml:space="preserve">Files to inspect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5"/>
        <w:gridCol w:w="6415"/>
      </w:tblGrid>
      <w:tr>
        <w:trPr>
          <w:cantSplit/>
          <w:tblHeader/>
        </w:trPr>
        <w:tc>
          <w:tcPr>
            <w:tcW w:type="dxa" w:w="3665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17365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6415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17365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3665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preprint/manuscript.pdf</w:t>
            </w:r>
          </w:p>
        </w:tc>
        <w:tc>
          <w:tcPr>
            <w:tcW w:type="dxa" w:w="6415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Journal-style reading copy</w:t>
            </w:r>
          </w:p>
        </w:tc>
      </w:tr>
      <w:tr>
        <w:trPr>
          <w:cantSplit/>
          <w:tblHeader w:val="false"/>
        </w:trPr>
        <w:tc>
          <w:tcPr>
            <w:tcW w:type="dxa" w:w="3665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preprint/manuscript.tex</w:t>
            </w:r>
          </w:p>
        </w:tc>
        <w:tc>
          <w:tcPr>
            <w:tcW w:type="dxa" w:w="6415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REVTeX source</w:t>
            </w:r>
          </w:p>
        </w:tc>
      </w:tr>
      <w:tr>
        <w:trPr>
          <w:cantSplit/>
          <w:tblHeader w:val="false"/>
        </w:trPr>
        <w:tc>
          <w:tcPr>
            <w:tcW w:type="dxa" w:w="3665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paper/CLAIM_EVIDENCE_MATRIX.md</w:t>
            </w:r>
          </w:p>
        </w:tc>
        <w:tc>
          <w:tcPr>
            <w:tcW w:type="dxa" w:w="6415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Claim-to-artifact reconciliation</w:t>
            </w:r>
          </w:p>
        </w:tc>
      </w:tr>
      <w:tr>
        <w:trPr>
          <w:cantSplit/>
          <w:tblHeader w:val="false"/>
        </w:trPr>
        <w:tc>
          <w:tcPr>
            <w:tcW w:type="dxa" w:w="3665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RESULTS_MANIFEST.json</w:t>
            </w:r>
          </w:p>
        </w:tc>
        <w:tc>
          <w:tcPr>
            <w:tcW w:type="dxa" w:w="6415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Canonical completion states and hashes</w:t>
            </w:r>
          </w:p>
        </w:tc>
      </w:tr>
      <w:tr>
        <w:trPr>
          <w:cantSplit/>
          <w:tblHeader w:val="false"/>
        </w:trPr>
        <w:tc>
          <w:tcPr>
            <w:tcW w:type="dxa" w:w="3665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cleanroom/README.md</w:t>
            </w:r>
          </w:p>
        </w:tc>
        <w:tc>
          <w:tcPr>
            <w:tcW w:type="dxa" w:w="6415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Blind execution protocol</w:t>
            </w:r>
          </w:p>
        </w:tc>
      </w:tr>
      <w:tr>
        <w:trPr>
          <w:cantSplit/>
          <w:tblHeader w:val="false"/>
        </w:trPr>
        <w:tc>
          <w:tcPr>
            <w:tcW w:type="dxa" w:w="3665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cleanroom/VERIFIER_WORKSHEET.md</w:t>
            </w:r>
          </w:p>
        </w:tc>
        <w:tc>
          <w:tcPr>
            <w:tcW w:type="dxa" w:w="6415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Pre-comparison result record and attestation</w:t>
            </w:r>
          </w:p>
        </w:tc>
      </w:tr>
      <w:tr>
        <w:trPr>
          <w:cantSplit/>
          <w:tblHeader w:val="false"/>
        </w:trPr>
        <w:tc>
          <w:tcPr>
            <w:tcW w:type="dxa" w:w="3665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results/*.json</w:t>
            </w:r>
          </w:p>
        </w:tc>
        <w:tc>
          <w:tcPr>
            <w:tcW w:type="dxa" w:w="6415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Released numerical evidence</w:t>
            </w:r>
          </w:p>
        </w:tc>
      </w:tr>
    </w:tbl>
    <w:p>
      <w:pPr>
        <w:spacing w:after="90"/>
      </w:pPr>
    </w:p>
    <w:p>
      <w:pPr>
        <w:pStyle w:val="Heading1"/>
        <w:keepNext/>
      </w:pPr>
      <w:r>
        <w:t xml:space="preserve">High-value review questions</w:t>
      </w:r>
    </w:p>
    <w:p>
      <w:pPr>
        <w:pStyle w:val="ListParagraph"/>
        <w:numPr>
          <w:ilvl w:val="0"/>
          <w:numId w:val="3"/>
        </w:numPr>
      </w:pPr>
      <w:r>
        <w:t xml:space="preserve">Is the global null generated and fitted consistently with the observed statistic?</w:t>
      </w:r>
    </w:p>
    <w:p>
      <w:pPr>
        <w:pStyle w:val="ListParagraph"/>
        <w:numPr>
          <w:ilvl w:val="0"/>
          <w:numId w:val="3"/>
        </w:numPr>
      </w:pPr>
      <w:r>
        <w:t xml:space="preserve">Is conditioning on global preference strength an appropriate way to prevent double-counting localization?</w:t>
      </w:r>
    </w:p>
    <w:p>
      <w:pPr>
        <w:pStyle w:val="ListParagraph"/>
        <w:numPr>
          <w:ilvl w:val="0"/>
          <w:numId w:val="3"/>
        </w:numPr>
      </w:pPr>
      <w:r>
        <w:t xml:space="preserve">Are the direct wCDM-versus-CPL mocks fitted at the correct observed constant-w null in each branch?</w:t>
      </w:r>
    </w:p>
    <w:p>
      <w:pPr>
        <w:pStyle w:val="ListParagraph"/>
        <w:numPr>
          <w:ilvl w:val="0"/>
          <w:numId w:val="3"/>
        </w:numPr>
      </w:pPr>
      <w:r>
        <w:t xml:space="preserve">Does the held-out LRG2 calculation propagate parameter uncertainty correctly, and is its targeted status stated strongly enough?</w:t>
      </w:r>
    </w:p>
    <w:p>
      <w:pPr>
        <w:pStyle w:val="ListParagraph"/>
        <w:numPr>
          <w:ilvl w:val="0"/>
          <w:numId w:val="3"/>
        </w:numPr>
      </w:pPr>
      <w:r>
        <w:t xml:space="preserve">Are the DES5Y offset results framed as degeneracy/sensitivity rather than diagnosis?</w:t>
      </w:r>
    </w:p>
    <w:p>
      <w:pPr>
        <w:pStyle w:val="ListParagraph"/>
        <w:numPr>
          <w:ilvl w:val="0"/>
          <w:numId w:val="3"/>
        </w:numPr>
      </w:pPr>
      <w:r>
        <w:t xml:space="preserve">Are PR3-native and compressed-CMB results clearly distinguished from DESI’s native PR4/ACT analysis?</w:t>
      </w:r>
    </w:p>
    <w:p>
      <w:pPr>
        <w:pStyle w:val="ListParagraph"/>
        <w:numPr>
          <w:ilvl w:val="0"/>
          <w:numId w:val="3"/>
        </w:numPr>
      </w:pPr>
      <w:r>
        <w:t xml:space="preserve">Are any manuscript claims stronger than the corresponding released artifact permits?</w:t>
      </w:r>
    </w:p>
    <w:p>
      <w:pPr>
        <w:pStyle w:val="Heading1"/>
        <w:keepNext/>
      </w:pPr>
      <w:r>
        <w:t xml:space="preserve">Known limitations and deferred material</w:t>
      </w:r>
    </w:p>
    <w:p>
      <w:pPr>
        <w:pStyle w:val="ListParagraph"/>
        <w:numPr>
          <w:ilvl w:val="0"/>
          <w:numId w:val="3"/>
        </w:numPr>
      </w:pPr>
      <w:r>
        <w:t xml:space="preserve">No independent human clean-room execution has yet been received.</w:t>
      </w:r>
    </w:p>
    <w:p>
      <w:pPr>
        <w:pStyle w:val="ListParagraph"/>
        <w:numPr>
          <w:ilvl w:val="0"/>
          <w:numId w:val="3"/>
        </w:numPr>
      </w:pPr>
      <w:r>
        <w:t xml:space="preserve">The official/native LRG2 likelihood reconstruction is open.</w:t>
      </w:r>
    </w:p>
    <w:p>
      <w:pPr>
        <w:pStyle w:val="ListParagraph"/>
        <w:numPr>
          <w:ilvl w:val="0"/>
          <w:numId w:val="3"/>
        </w:numPr>
      </w:pPr>
      <w:r>
        <w:t xml:space="preserve">The scientific analysis implements published compressed likelihoods rather than raw catalog and survey-systematics pipelines.</w:t>
      </w:r>
    </w:p>
    <w:p>
      <w:pPr>
        <w:pStyle w:val="ListParagraph"/>
        <w:numPr>
          <w:ilvl w:val="0"/>
          <w:numId w:val="3"/>
        </w:numPr>
      </w:pPr>
      <w:r>
        <w:t xml:space="preserve">A later DDM manuscript expansion was removed from this package because its cited gate document, runner, outputs, and CLASS patch are absent from the repository and manifest.</w:t>
      </w:r>
    </w:p>
    <w:p>
      <w:pPr>
        <w:pStyle w:val="Heading1"/>
        <w:keepNext/>
      </w:pPr>
      <w:r>
        <w:t xml:space="preserve">How to report</w:t>
      </w:r>
    </w:p>
    <w:p>
      <w:pPr>
        <w:widowControl/>
        <w:jc w:val="both"/>
      </w:pPr>
      <w:r>
        <w:t xml:space="preserve">Please return a short signed record containing scope, environment, commit, commands, outputs/hashes, discrepancies, and an explicit statement of what was and was not independently checked. A successful rerun verifies execution of the released implementation; it does not by itself establish an independent clean-room reimplementation of the likelihood.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76"/>
        <w:sz w:val="14"/>
        <w:szCs w:val="14"/>
      </w:rPr>
      <w:t xml:space="preserve">August 2026  •  </w:t>
    </w:r>
    <w:r>
      <w:rPr>
        <w:color w:val="5F6B7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B3C2" w:sz="3" w:space="2"/>
      </w:pBdr>
    </w:pPr>
    <w:r>
      <w:rPr>
        <w:b/>
        <w:bCs/>
        <w:color w:val="5F6B76"/>
        <w:sz w:val="14"/>
        <w:szCs w:val="14"/>
      </w:rPr>
      <w:t xml:space="preserve">DARK-ENERGY STRESS LAB  •  INDEPENDENT REVIEW PACKET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B36"/>
        <w:sz w:val="19"/>
        <w:szCs w:val="19"/>
      </w:rPr>
    </w:rPrDefault>
    <w:pPrDefault>
      <w:pPr>
        <w:spacing w:after="105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9EAF7" w:sz="5" w:space="3"/>
      </w:pBdr>
      <w:spacing w:after="120" w:before="270"/>
      <w:outlineLvl w:val="0"/>
    </w:pPr>
    <w:rPr>
      <w:rFonts w:ascii="Arial" w:cs="Arial" w:eastAsia="Arial" w:hAnsi="Arial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90" w:before="210"/>
      <w:outlineLvl w:val="1"/>
    </w:pPr>
    <w:rPr>
      <w:rFonts w:ascii="Arial" w:cs="Arial" w:eastAsia="Arial" w:hAnsi="Arial"/>
      <w:b/>
      <w:bCs/>
      <w:color w:val="2F75B5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70" w:before="160"/>
      <w:outlineLvl w:val="2"/>
    </w:pPr>
    <w:rPr>
      <w:rFonts w:ascii="Arial" w:cs="Arial" w:eastAsia="Arial" w:hAnsi="Arial"/>
      <w:b/>
      <w:bCs/>
      <w:color w:val="202B3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 Evidence Review Packet</dc:title>
  <dc:subject>Independent review and verification guide</dc:subject>
  <dc:creator>Bobby Morong</dc:creator>
  <cp:keywords>DESI DR2, dark energy, CPL, LRG2, BAO, cosmology, reproducibility</cp:keywords>
  <dc:description>Canonical July 2026 whitepaper with selection-calibrated influence, direct time-variation calibration, held-out LRG2 diagnostics, and frontier evidence gates.</dc:description>
  <cp:lastModifiedBy>Un-named</cp:lastModifiedBy>
  <cp:revision>1</cp:revision>
  <dcterms:created xsi:type="dcterms:W3CDTF">2026-08-09T20:06:58.195Z</dcterms:created>
  <dcterms:modified xsi:type="dcterms:W3CDTF">2026-08-09T20:06:58.202Z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