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C1CF" w14:textId="0C5F10B9" w:rsidR="00632976" w:rsidRDefault="007A2645" w:rsidP="0063297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A56B6F">
        <w:rPr>
          <w:rFonts w:ascii="Times New Roman" w:hAnsi="Times New Roman" w:cs="Times New Roman"/>
          <w:sz w:val="52"/>
          <w:szCs w:val="52"/>
          <w:lang w:val="en-US"/>
        </w:rPr>
        <w:t>Sistem de vehicule spa</w:t>
      </w:r>
      <w:r w:rsidRPr="00A56B6F">
        <w:rPr>
          <w:rFonts w:ascii="Times New Roman" w:hAnsi="Times New Roman" w:cs="Times New Roman"/>
          <w:sz w:val="52"/>
          <w:szCs w:val="52"/>
        </w:rPr>
        <w:t>țiale legate prin fi</w:t>
      </w:r>
      <w:r w:rsidR="00632976">
        <w:rPr>
          <w:rFonts w:ascii="Times New Roman" w:hAnsi="Times New Roman" w:cs="Times New Roman"/>
          <w:sz w:val="52"/>
          <w:szCs w:val="52"/>
        </w:rPr>
        <w:t>re</w:t>
      </w:r>
    </w:p>
    <w:p w14:paraId="4DDEDC6B" w14:textId="77777777" w:rsidR="00632976" w:rsidRDefault="00632976" w:rsidP="007A264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0899C6E" w14:textId="361139B0" w:rsidR="007A2645" w:rsidRDefault="007A2645" w:rsidP="007A2645">
      <w:pPr>
        <w:rPr>
          <w:rFonts w:ascii="Times New Roman" w:hAnsi="Times New Roman" w:cs="Times New Roman"/>
          <w:sz w:val="24"/>
          <w:szCs w:val="24"/>
        </w:rPr>
      </w:pPr>
      <w:r w:rsidRPr="007A2645">
        <w:rPr>
          <w:rFonts w:ascii="Times New Roman" w:hAnsi="Times New Roman" w:cs="Times New Roman"/>
          <w:i/>
          <w:iCs/>
          <w:sz w:val="24"/>
          <w:szCs w:val="24"/>
        </w:rPr>
        <w:t>Conducători științifici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B56FA">
        <w:rPr>
          <w:rFonts w:ascii="Times New Roman" w:hAnsi="Times New Roman" w:cs="Times New Roman"/>
          <w:b/>
          <w:bCs/>
          <w:sz w:val="24"/>
          <w:szCs w:val="24"/>
        </w:rPr>
        <w:t>Prof. dr. ing. Andrei Craifaleanu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56FA">
        <w:rPr>
          <w:rFonts w:ascii="Times New Roman" w:hAnsi="Times New Roman" w:cs="Times New Roman"/>
          <w:b/>
          <w:bCs/>
          <w:sz w:val="24"/>
          <w:szCs w:val="24"/>
        </w:rPr>
        <w:t>As. dr. ing. Roxana Petre</w:t>
      </w:r>
      <w:r>
        <w:rPr>
          <w:rFonts w:ascii="Times New Roman" w:hAnsi="Times New Roman" w:cs="Times New Roman"/>
          <w:sz w:val="24"/>
          <w:szCs w:val="24"/>
        </w:rPr>
        <w:t>, Departamentul de Mecanică.</w:t>
      </w:r>
    </w:p>
    <w:p w14:paraId="0EFB9538" w14:textId="634F313C" w:rsidR="007A2645" w:rsidRDefault="007A2645" w:rsidP="007A2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2645">
        <w:rPr>
          <w:rFonts w:ascii="Times New Roman" w:hAnsi="Times New Roman" w:cs="Times New Roman"/>
          <w:i/>
          <w:iCs/>
          <w:sz w:val="24"/>
          <w:szCs w:val="24"/>
        </w:rPr>
        <w:t>Studenți</w:t>
      </w:r>
      <w:r w:rsidRPr="007A264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Robert-Antonio Stăvărache, Vlad Gabriel Șerbu, Andrei-Lucian Grosoiu, anul I, grupa 312AA, Facultatea de Automatică și Calculatoare.</w:t>
      </w:r>
    </w:p>
    <w:p w14:paraId="7020A994" w14:textId="30168A5A" w:rsidR="007A2645" w:rsidRDefault="007A2645" w:rsidP="007A26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674A3" w14:textId="202A79D6" w:rsidR="007A2645" w:rsidRDefault="007A2645" w:rsidP="007A264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19B9">
        <w:rPr>
          <w:rFonts w:ascii="Times New Roman" w:hAnsi="Times New Roman" w:cs="Times New Roman"/>
          <w:b/>
          <w:bCs/>
          <w:sz w:val="32"/>
          <w:szCs w:val="32"/>
          <w:lang w:val="en-US"/>
        </w:rPr>
        <w:t>Rezumat</w:t>
      </w:r>
    </w:p>
    <w:p w14:paraId="1890C768" w14:textId="04713358" w:rsidR="006A19B9" w:rsidRDefault="006A19B9" w:rsidP="007A26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Zborurile Spațiale care implică o misiune pe o stație spațială sau </w:t>
      </w:r>
      <w:r w:rsidRPr="006A19B9">
        <w:rPr>
          <w:rFonts w:ascii="Times New Roman" w:hAnsi="Times New Roman" w:cs="Times New Roman"/>
          <w:sz w:val="24"/>
          <w:szCs w:val="24"/>
          <w:lang w:val="en-US"/>
        </w:rPr>
        <w:t xml:space="preserve">călătorii interplanetare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expun echipajul la efectele imponderabilității. Acestea au efecte negative asupra corpului uman, precum pierderea densității osoase, atrofierea mușchilor scheletici, </w:t>
      </w:r>
      <w:r w:rsidRPr="006A19B9">
        <w:rPr>
          <w:rFonts w:ascii="Times New Roman" w:hAnsi="Times New Roman" w:cs="Times New Roman"/>
          <w:sz w:val="24"/>
          <w:szCs w:val="24"/>
          <w:lang w:val="en-US"/>
        </w:rPr>
        <w:t>decondiționarea cardiovasculară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 pot afecta sănătatea astronauților și capacitatea lor de a duce misiunea la bun sfârșit.</w:t>
      </w:r>
    </w:p>
    <w:p w14:paraId="556EBDD8" w14:textId="04B9AFF5" w:rsidR="00DB5881" w:rsidRDefault="006A19B9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Ace</w:t>
      </w:r>
      <w:r w:rsidR="0096629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966295">
        <w:rPr>
          <w:rFonts w:ascii="Times New Roman" w:hAnsi="Times New Roman" w:cs="Times New Roman"/>
          <w:sz w:val="24"/>
          <w:szCs w:val="24"/>
          <w:lang w:val="en-US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295">
        <w:rPr>
          <w:rFonts w:ascii="Times New Roman" w:hAnsi="Times New Roman" w:cs="Times New Roman"/>
          <w:sz w:val="24"/>
          <w:szCs w:val="24"/>
          <w:lang w:val="en-US"/>
        </w:rPr>
        <w:t>lucrare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studiază</w:t>
      </w:r>
      <w:r w:rsidR="00417E96">
        <w:rPr>
          <w:rFonts w:ascii="Times New Roman" w:hAnsi="Times New Roman" w:cs="Times New Roman"/>
          <w:sz w:val="24"/>
          <w:szCs w:val="24"/>
          <w:lang w:val="en-US"/>
        </w:rPr>
        <w:t xml:space="preserve"> efectele dinamice produse într-un sistem de două nave spațiale legate, cu gravitație artificială produsă de mișcarea de rotație.</w:t>
      </w:r>
    </w:p>
    <w:p w14:paraId="7DF85BAA" w14:textId="10CE4D0E" w:rsidR="00417E96" w:rsidRDefault="00417E96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E96">
        <w:rPr>
          <w:rFonts w:ascii="Times New Roman" w:hAnsi="Times New Roman" w:cs="Times New Roman"/>
          <w:sz w:val="24"/>
          <w:szCs w:val="24"/>
          <w:lang w:val="en-US"/>
        </w:rPr>
        <w:t>Sistemul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E96">
        <w:rPr>
          <w:rFonts w:ascii="Times New Roman" w:hAnsi="Times New Roman" w:cs="Times New Roman"/>
          <w:sz w:val="24"/>
          <w:szCs w:val="24"/>
          <w:lang w:val="en-US"/>
        </w:rPr>
        <w:t>călătorește pe o orbită circulară , în timp ce cele două corpuri rigide se rotesc în jurul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E96">
        <w:rPr>
          <w:rFonts w:ascii="Times New Roman" w:hAnsi="Times New Roman" w:cs="Times New Roman"/>
          <w:sz w:val="24"/>
          <w:szCs w:val="24"/>
          <w:lang w:val="en-US"/>
        </w:rPr>
        <w:t>centrul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417E96">
        <w:rPr>
          <w:rFonts w:ascii="Times New Roman" w:hAnsi="Times New Roman" w:cs="Times New Roman"/>
          <w:sz w:val="24"/>
          <w:szCs w:val="24"/>
          <w:lang w:val="en-US"/>
        </w:rPr>
        <w:t xml:space="preserve"> de masă. Efectul forțelor centrifuge produse asupra corpurilor rigide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E96">
        <w:rPr>
          <w:rFonts w:ascii="Times New Roman" w:hAnsi="Times New Roman" w:cs="Times New Roman"/>
          <w:sz w:val="24"/>
          <w:szCs w:val="24"/>
          <w:lang w:val="en-US"/>
        </w:rPr>
        <w:t>simulează condițiile de gravitație.</w:t>
      </w:r>
    </w:p>
    <w:p w14:paraId="306BFF71" w14:textId="77777777" w:rsidR="00417E96" w:rsidRDefault="00417E96" w:rsidP="00417E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EBE6C" w14:textId="777FC57F" w:rsidR="00417E96" w:rsidRDefault="00417E96" w:rsidP="00417E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Introducere</w:t>
      </w:r>
    </w:p>
    <w:p w14:paraId="0D891248" w14:textId="1C0296D0" w:rsidR="00DB5881" w:rsidRDefault="00417E96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Zborurile Spațiale de lungă durată expun echipajul la efectele imponderabilității. Acestea pot influența in mod negativ posibilitatea de succes a misiunii, deoarece sănătatea astronauților este pusă in pericol.</w:t>
      </w:r>
      <w:r w:rsidR="00AB085A">
        <w:rPr>
          <w:rFonts w:ascii="Times New Roman" w:hAnsi="Times New Roman" w:cs="Times New Roman"/>
          <w:sz w:val="24"/>
          <w:szCs w:val="24"/>
          <w:lang w:val="en-US"/>
        </w:rPr>
        <w:t xml:space="preserve"> Multe studii propun diferite solutii, precum exercitiile fizice, folosirea costumelor elastice sau medicamentele. Totuși acestea nu reprezintă o soluție permanentă, de aceea soluția este reprezentată de producerea gravitației artificiale in modulul echipajului.</w:t>
      </w:r>
    </w:p>
    <w:p w14:paraId="606D3A3E" w14:textId="4D31E0C7" w:rsidR="00AB085A" w:rsidRDefault="00AB085A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Gravitația artificială poate</w:t>
      </w:r>
      <w:r w:rsidR="00966295">
        <w:rPr>
          <w:rFonts w:ascii="Times New Roman" w:hAnsi="Times New Roman" w:cs="Times New Roman"/>
          <w:sz w:val="24"/>
          <w:szCs w:val="24"/>
          <w:lang w:val="en-US"/>
        </w:rPr>
        <w:t xml:space="preserve"> fi produsă de către forțele centrifuge produse într-un modul rotativ, obiectivul poate fi atins cu sisteme de corpuri legate, în mișcare de rotație în jurul centrului de masă. Lucrarea studiază efectele dinamice produse într-un sistem cu două mave spațiale legate, cu gravitație artificială, produsă de mișcarea de rotație. Una dintre nave este locuibilă, în timp ce cealaltă este un modul de serviciu.</w:t>
      </w:r>
    </w:p>
    <w:p w14:paraId="2868FD9B" w14:textId="34325E69" w:rsidR="00A56B6F" w:rsidRDefault="00DB5881" w:rsidP="00417E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Proiect</w:t>
      </w:r>
    </w:p>
    <w:p w14:paraId="0B5CBE29" w14:textId="0B373304" w:rsidR="00DB5881" w:rsidRDefault="00DB5881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 creat un program prin</w:t>
      </w:r>
      <w:r w:rsidR="009730D1">
        <w:rPr>
          <w:rFonts w:ascii="Times New Roman" w:hAnsi="Times New Roman" w:cs="Times New Roman"/>
          <w:sz w:val="24"/>
          <w:szCs w:val="24"/>
          <w:lang w:val="en-US"/>
        </w:rPr>
        <w:t xml:space="preserve"> care simulăm un sistem de corpuri legate, reprezentat de două nave spațiale și modul in care este produsă gravitația artificială în mișcarea de rotație în jurul centrului de masă pentru a elimina efectele negative asupra sănătății astronauților.</w:t>
      </w:r>
    </w:p>
    <w:p w14:paraId="5FACCF5B" w14:textId="77777777" w:rsidR="00AF5102" w:rsidRPr="009730D1" w:rsidRDefault="00AF5102" w:rsidP="00417E96">
      <w:pPr>
        <w:rPr>
          <w:rFonts w:ascii="Times New Roman" w:hAnsi="Times New Roman" w:cs="Times New Roman"/>
          <w:sz w:val="24"/>
          <w:szCs w:val="24"/>
        </w:rPr>
      </w:pPr>
    </w:p>
    <w:p w14:paraId="77AF9C13" w14:textId="5A3EF4E2" w:rsidR="00966295" w:rsidRDefault="00966295" w:rsidP="00417E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Model</w:t>
      </w:r>
    </w:p>
    <w:p w14:paraId="342B4294" w14:textId="05FB4316" w:rsidR="00966295" w:rsidRDefault="00966295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Sistemul este reprezentat de două corpuri rigide, </w:t>
      </w:r>
      <w:r w:rsidRPr="00966295">
        <w:rPr>
          <w:rFonts w:ascii="Times New Roman" w:hAnsi="Times New Roman" w:cs="Times New Roman"/>
          <w:i/>
          <w:iCs/>
          <w:sz w:val="24"/>
          <w:szCs w:val="24"/>
          <w:lang w:val="en-US"/>
        </w:rPr>
        <w:t>P1 și P2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CB56FA">
        <w:rPr>
          <w:rFonts w:ascii="Times New Roman" w:hAnsi="Times New Roman" w:cs="Times New Roman"/>
          <w:sz w:val="24"/>
          <w:szCs w:val="24"/>
          <w:lang w:val="en-US"/>
        </w:rPr>
        <w:t>conectate printr-un fir de masă neglijabilă. Centrul de masă C al sistemului calatorește pe o orbită circulară, în timp ce cele două corpuri se rotesc in jurul centrului de masă, în planul orbitei.</w:t>
      </w:r>
    </w:p>
    <w:p w14:paraId="13495173" w14:textId="6CCD9A02" w:rsidR="00CB56FA" w:rsidRDefault="00CB56FA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18AE83" wp14:editId="00C0501A">
            <wp:extent cx="5760720" cy="206565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3125" w14:textId="77F0F764" w:rsidR="00CB56FA" w:rsidRDefault="00CB56FA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Corpurile sunt acționate de:</w:t>
      </w:r>
    </w:p>
    <w:p w14:paraId="724FB248" w14:textId="68109665" w:rsidR="00CB56FA" w:rsidRDefault="00CB56FA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-for</w:t>
      </w:r>
      <w:r>
        <w:rPr>
          <w:rFonts w:ascii="Times New Roman" w:hAnsi="Times New Roman" w:cs="Times New Roman"/>
          <w:sz w:val="24"/>
          <w:szCs w:val="24"/>
        </w:rPr>
        <w:t>țele gravitaționale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60B19F" wp14:editId="2C8AE8C5">
            <wp:extent cx="4486901" cy="543001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FCF" w14:textId="5CBC0E9C" w:rsidR="00CB56FA" w:rsidRDefault="00CB56FA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 m1 și m2 sunt masele celor două corpuri, în timp ce</w:t>
      </w:r>
    </w:p>
    <w:p w14:paraId="2CD9120C" w14:textId="33E657CE" w:rsidR="00CB56FA" w:rsidRDefault="00CB56FA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2F260" wp14:editId="2A2AA3D3">
            <wp:extent cx="4448796" cy="362001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437E" w14:textId="038FFD13" w:rsidR="00CB56FA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parametrul gravitațional standard al Pamântuluiș</w:t>
      </w:r>
    </w:p>
    <w:p w14:paraId="45EC75FA" w14:textId="28F7BBA1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-forta de tensiune in legătura viscoelastică.</w:t>
      </w:r>
    </w:p>
    <w:p w14:paraId="42E5C6B6" w14:textId="6A13DAF5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77AC91" wp14:editId="168E3F02">
            <wp:extent cx="4438654" cy="504825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340" cy="50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E1CB" w14:textId="708C2259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 k este constanta elastică, c este efectul de amortizare, l este lungimea firului,</w:t>
      </w:r>
    </w:p>
    <w:p w14:paraId="4B0E9FD3" w14:textId="5EF692CD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D2D90F" wp14:editId="0A119D13">
            <wp:extent cx="4029637" cy="323895"/>
            <wp:effectExtent l="0" t="0" r="952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9F4F" w14:textId="18845FF3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distanța dintre cele două corpuri și</w:t>
      </w:r>
    </w:p>
    <w:p w14:paraId="2961A1E1" w14:textId="113BBE6F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37DA6A" wp14:editId="20950DB6">
            <wp:extent cx="4562476" cy="55245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23" cy="5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6E75" w14:textId="0E35840B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viteza de deformare a legăturii.</w:t>
      </w:r>
    </w:p>
    <w:p w14:paraId="36174A1A" w14:textId="3EC77EBF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792DD8" wp14:editId="6C43221C">
            <wp:extent cx="3705742" cy="495369"/>
            <wp:effectExtent l="0" t="0" r="9525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46CC" w14:textId="21C3C086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vectorul unitate al segmentului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în timp ce</w:t>
      </w:r>
    </w:p>
    <w:p w14:paraId="6DBD8CA6" w14:textId="2EAE1778" w:rsidR="009B019C" w:rsidRDefault="009B019C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0B049" wp14:editId="5790B0E7">
            <wp:extent cx="3658111" cy="266737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D06" w14:textId="684A7B7F" w:rsidR="00C65006" w:rsidRDefault="00C65006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Prin aplicarea ecuației fundamentale a dinamicii corpurilor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si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ecuațiile vectoriale ale mișcării sunt obtinute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70AA15" w14:textId="2A32BD8E" w:rsidR="00C65006" w:rsidRDefault="006621E0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9EAF00" wp14:editId="7728AD83">
            <wp:extent cx="5145580" cy="485971"/>
            <wp:effectExtent l="0" t="0" r="0" b="9525"/>
            <wp:docPr id="1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captură de ecran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0" cy="4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A6DB" w14:textId="69B46FF9" w:rsidR="00C65006" w:rsidRDefault="00C65006" w:rsidP="00417E96">
      <w:pPr>
        <w:rPr>
          <w:rFonts w:ascii="Times New Roman" w:hAnsi="Times New Roman" w:cs="Times New Roman"/>
          <w:sz w:val="24"/>
          <w:szCs w:val="24"/>
        </w:rPr>
      </w:pPr>
    </w:p>
    <w:p w14:paraId="4A389978" w14:textId="3AF0FDAC" w:rsidR="00C65006" w:rsidRDefault="00C65006" w:rsidP="00417E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Aplicatii numerice</w:t>
      </w:r>
    </w:p>
    <w:p w14:paraId="4A408427" w14:textId="00AC988B" w:rsidR="00C65006" w:rsidRDefault="00C65006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Studiul este ilustrat cu ajutorul unei aplicatii numerice, in care au fost folosite caracteristici asemanatoare cu cele ale navetei spațiale Orion, </w:t>
      </w:r>
      <w:r w:rsidRPr="00C65006">
        <w:rPr>
          <w:rFonts w:ascii="Times New Roman" w:hAnsi="Times New Roman" w:cs="Times New Roman"/>
          <w:b/>
          <w:bCs/>
          <w:sz w:val="24"/>
          <w:szCs w:val="24"/>
        </w:rPr>
        <w:t>m1=m2=m=10000kg.</w:t>
      </w:r>
    </w:p>
    <w:p w14:paraId="37A0E984" w14:textId="77777777" w:rsidR="00C65006" w:rsidRDefault="00C65006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O legătură de fascicul Kevlar este considerată cu lungimea </w:t>
      </w:r>
      <w:r w:rsidRPr="00C65006">
        <w:rPr>
          <w:rFonts w:ascii="Times New Roman" w:hAnsi="Times New Roman" w:cs="Times New Roman"/>
          <w:b/>
          <w:bCs/>
          <w:sz w:val="24"/>
          <w:szCs w:val="24"/>
        </w:rPr>
        <w:t>l=2000m</w:t>
      </w:r>
      <w:r>
        <w:rPr>
          <w:rFonts w:ascii="Times New Roman" w:hAnsi="Times New Roman" w:cs="Times New Roman"/>
          <w:sz w:val="24"/>
          <w:szCs w:val="24"/>
        </w:rPr>
        <w:t xml:space="preserve">, suprafața totală a secțiunii transversale </w:t>
      </w:r>
      <w:r w:rsidRPr="00C65006">
        <w:rPr>
          <w:rFonts w:ascii="Times New Roman" w:hAnsi="Times New Roman" w:cs="Times New Roman"/>
          <w:b/>
          <w:bCs/>
          <w:sz w:val="24"/>
          <w:szCs w:val="24"/>
        </w:rPr>
        <w:t>A=200mm</w:t>
      </w:r>
      <w:r w:rsidRPr="00C6500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 cu urmatoarele caracteristici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Modulul Young </w:t>
      </w:r>
    </w:p>
    <w:p w14:paraId="7864B507" w14:textId="77F09A08" w:rsidR="00C65006" w:rsidRDefault="00C65006" w:rsidP="00417E96">
      <w:pPr>
        <w:rPr>
          <w:rFonts w:ascii="Times New Roman" w:hAnsi="Times New Roman" w:cs="Times New Roman"/>
          <w:sz w:val="24"/>
          <w:szCs w:val="24"/>
        </w:rPr>
      </w:pPr>
      <w:r w:rsidRPr="00C65006">
        <w:rPr>
          <w:rFonts w:ascii="Times New Roman" w:hAnsi="Times New Roman" w:cs="Times New Roman"/>
          <w:b/>
          <w:bCs/>
          <w:sz w:val="24"/>
          <w:szCs w:val="24"/>
          <w:lang w:val="en-US"/>
        </w:rPr>
        <w:t>E= 170 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C8169F3" wp14:editId="510DA3F2">
            <wp:simplePos x="0" y="0"/>
            <wp:positionH relativeFrom="column">
              <wp:posOffset>852805</wp:posOffset>
            </wp:positionH>
            <wp:positionV relativeFrom="paragraph">
              <wp:posOffset>-3175</wp:posOffset>
            </wp:positionV>
            <wp:extent cx="1011555" cy="257175"/>
            <wp:effectExtent l="0" t="0" r="0" b="9525"/>
            <wp:wrapNone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                           </w:t>
      </w:r>
      <w:r w:rsidR="002F21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2F2106">
        <w:rPr>
          <w:rFonts w:ascii="Times New Roman" w:hAnsi="Times New Roman" w:cs="Times New Roman"/>
          <w:sz w:val="24"/>
          <w:szCs w:val="24"/>
          <w:lang w:val="en-US"/>
        </w:rPr>
        <w:t>Leg</w:t>
      </w:r>
      <w:r w:rsidR="002F2106">
        <w:rPr>
          <w:rFonts w:ascii="Times New Roman" w:hAnsi="Times New Roman" w:cs="Times New Roman"/>
          <w:sz w:val="24"/>
          <w:szCs w:val="24"/>
        </w:rPr>
        <w:t>ătura suportă o forță maximă</w:t>
      </w:r>
    </w:p>
    <w:p w14:paraId="64522D0D" w14:textId="0AD6A38B" w:rsidR="002F2106" w:rsidRDefault="002F2106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97488" wp14:editId="0C893B43">
            <wp:extent cx="4277322" cy="352474"/>
            <wp:effectExtent l="0" t="0" r="9525" b="952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BE72" w14:textId="6C0764CB" w:rsidR="002F2106" w:rsidRDefault="002F2106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Constanta elastică a legăturii este</w:t>
      </w:r>
    </w:p>
    <w:p w14:paraId="72B2B65B" w14:textId="04262370" w:rsidR="002F2106" w:rsidRDefault="002F2106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B0328" wp14:editId="52C3D084">
            <wp:extent cx="3743847" cy="457264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24A1" w14:textId="2BC6DA0C" w:rsidR="002F2106" w:rsidRDefault="002F2106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coeficientul de amortizare a fost aleasă valoare c = 1300 Ns/m.</w:t>
      </w:r>
    </w:p>
    <w:p w14:paraId="06A7D069" w14:textId="05B28BDF" w:rsidR="002F2106" w:rsidRDefault="002F2106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Factorul de pierdere:</w:t>
      </w:r>
    </w:p>
    <w:p w14:paraId="2DACB05F" w14:textId="0D2A3A45" w:rsidR="002F2106" w:rsidRDefault="002F2106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BBEA23" wp14:editId="7805003E">
            <wp:extent cx="3858163" cy="590632"/>
            <wp:effectExtent l="0" t="0" r="952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2011" w14:textId="110F157F" w:rsidR="002F2106" w:rsidRDefault="002F2106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</w:t>
      </w:r>
    </w:p>
    <w:p w14:paraId="3598F9F2" w14:textId="493EF76B" w:rsidR="002F2106" w:rsidRDefault="002F2106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E79827" wp14:editId="4A752C63">
            <wp:extent cx="3648584" cy="523948"/>
            <wp:effectExtent l="0" t="0" r="9525" b="952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8DFA" w14:textId="530B1073" w:rsidR="002F2106" w:rsidRDefault="002F2106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Este frecven</w:t>
      </w:r>
      <w:r>
        <w:rPr>
          <w:rFonts w:ascii="Times New Roman" w:hAnsi="Times New Roman" w:cs="Times New Roman"/>
          <w:sz w:val="24"/>
          <w:szCs w:val="24"/>
        </w:rPr>
        <w:t>ța proprie circulară a sistemului elastic de vibrații, constând în arcul cu constanta de elasticitate a legăturii.</w:t>
      </w:r>
    </w:p>
    <w:p w14:paraId="6A82EBC2" w14:textId="3AC69D6B" w:rsidR="002F2106" w:rsidRDefault="002F2106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Raza Pamântului</w:t>
      </w:r>
      <w:r w:rsidR="00A56B6F">
        <w:rPr>
          <w:rFonts w:ascii="Times New Roman" w:hAnsi="Times New Roman" w:cs="Times New Roman"/>
          <w:sz w:val="24"/>
          <w:szCs w:val="24"/>
        </w:rPr>
        <w:t xml:space="preserve"> a fost considerată</w:t>
      </w:r>
      <w:r>
        <w:rPr>
          <w:rFonts w:ascii="Times New Roman" w:hAnsi="Times New Roman" w:cs="Times New Roman"/>
          <w:sz w:val="24"/>
          <w:szCs w:val="24"/>
        </w:rPr>
        <w:t xml:space="preserve"> R=6371km </w:t>
      </w:r>
      <w:r w:rsidR="00A56B6F">
        <w:rPr>
          <w:rFonts w:ascii="Times New Roman" w:hAnsi="Times New Roman" w:cs="Times New Roman"/>
          <w:sz w:val="24"/>
          <w:szCs w:val="24"/>
        </w:rPr>
        <w:t>și o viteză unghiulară capabilă să furnizeze un câmp gravitațional artificial cu g=9.81m/s</w:t>
      </w:r>
      <w:r w:rsidR="00A56B6F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A56B6F">
        <w:rPr>
          <w:rFonts w:ascii="Times New Roman" w:hAnsi="Times New Roman" w:cs="Times New Roman"/>
          <w:sz w:val="24"/>
          <w:szCs w:val="24"/>
        </w:rPr>
        <w:t>a fost aplicată sistemului.</w:t>
      </w:r>
    </w:p>
    <w:p w14:paraId="7091E94F" w14:textId="6B09B6AD" w:rsidR="00A56B6F" w:rsidRDefault="00A56B6F" w:rsidP="0041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valoarea aproximativă a parametrului este obținută prin neglijarea gradientului gravitațional</w:t>
      </w:r>
    </w:p>
    <w:p w14:paraId="6EB1F52C" w14:textId="2739DDE1" w:rsidR="00A56B6F" w:rsidRDefault="00A56B6F" w:rsidP="00417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68FBF3" wp14:editId="33899310">
            <wp:extent cx="3886742" cy="619211"/>
            <wp:effectExtent l="0" t="0" r="0" b="952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27B" w14:textId="526D28C8" w:rsidR="00A56B6F" w:rsidRDefault="00A56B6F" w:rsidP="00A56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r>
        <w:rPr>
          <w:rFonts w:ascii="Times New Roman" w:hAnsi="Times New Roman" w:cs="Times New Roman"/>
          <w:sz w:val="24"/>
          <w:szCs w:val="24"/>
        </w:rPr>
        <w:t>țial, sistemul este considerat cu centrul de masă C in mișcare pe o traiectorie circulară, la aceeași înălțime ca și Stația Spațială Internațională, h=400km, cu legătura aliniată de-a lungul verticalei locale, într-o rotație sincron cu cea a Pământului.</w:t>
      </w:r>
    </w:p>
    <w:p w14:paraId="40C26D14" w14:textId="51D664C3" w:rsidR="00A56B6F" w:rsidRDefault="00A56B6F" w:rsidP="00A56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6EA71" wp14:editId="64CD8E6E">
            <wp:extent cx="4077269" cy="790685"/>
            <wp:effectExtent l="0" t="0" r="0" b="9525"/>
            <wp:docPr id="17" name="Imagine 1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ine 17" descr="O imagine care conține text&#10;&#10;Descriere generată automa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61E3" w14:textId="70843D45" w:rsidR="00A56B6F" w:rsidRDefault="00A56B6F" w:rsidP="00A56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7DA176" wp14:editId="50896E28">
            <wp:extent cx="5760720" cy="4944745"/>
            <wp:effectExtent l="0" t="0" r="0" b="8255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in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7E06" w14:textId="2F70AB41" w:rsidR="00DB5881" w:rsidRDefault="00DB5881" w:rsidP="00A56B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5881">
        <w:rPr>
          <w:rFonts w:ascii="Times New Roman" w:hAnsi="Times New Roman" w:cs="Times New Roman"/>
          <w:b/>
          <w:bCs/>
          <w:sz w:val="32"/>
          <w:szCs w:val="32"/>
        </w:rPr>
        <w:t>Referințe</w:t>
      </w:r>
    </w:p>
    <w:p w14:paraId="1066AFC0" w14:textId="77777777" w:rsidR="00DB5881" w:rsidRPr="00DB5881" w:rsidRDefault="00DB5881" w:rsidP="00A56B6F">
      <w:pPr>
        <w:rPr>
          <w:rFonts w:ascii="Times New Roman" w:hAnsi="Times New Roman" w:cs="Times New Roman"/>
          <w:sz w:val="24"/>
          <w:szCs w:val="24"/>
        </w:rPr>
      </w:pPr>
    </w:p>
    <w:p w14:paraId="784BEA29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[1] Alpatov A. P., Beletsky V. V., Dranovskii V. I., Khoroshilov V. S., Pirozhenko A. </w:t>
      </w:r>
    </w:p>
    <w:p w14:paraId="1363156B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V., Troger H., Zakrzhevskii A. E., Dynamics of Tethered Space Systems, CRC Press, </w:t>
      </w:r>
    </w:p>
    <w:p w14:paraId="5B395A59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Taylor &amp; Francis Group, U.S.A., 2012; </w:t>
      </w:r>
    </w:p>
    <w:p w14:paraId="424BF62D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lastRenderedPageBreak/>
        <w:t xml:space="preserve">[2] Carfagni M., Lenzi E., Pierini M., The Loss Factor as a Measure of Mechanical </w:t>
      </w:r>
    </w:p>
    <w:p w14:paraId="77300120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Damping, Proceedings of SPIE - The International Society for Optical Engineering, </w:t>
      </w:r>
    </w:p>
    <w:p w14:paraId="07A80E3B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U.S.A., 1998; </w:t>
      </w:r>
    </w:p>
    <w:p w14:paraId="5536AC99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[3] Chen Y., Huang R., Ren X., He L., He Y., History of the Tether Concept and </w:t>
      </w:r>
    </w:p>
    <w:p w14:paraId="2D884825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Tether Missions: A Review, ISRN Astronomy and Astrophysics 2013, Article ID </w:t>
      </w:r>
    </w:p>
    <w:p w14:paraId="60446FC2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502973, pp 1-7; </w:t>
      </w:r>
    </w:p>
    <w:p w14:paraId="3C8047C8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[4] Clément G., Bukley A., Artificial Gravity, Microcosm Press and Springer, U.S.A., </w:t>
      </w:r>
    </w:p>
    <w:p w14:paraId="204EA97C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2007; </w:t>
      </w:r>
    </w:p>
    <w:p w14:paraId="04C8CE1F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[5] Dodd R., Using Si Units in Astronomy, Cambridge University Press, U.S.A., 2012; </w:t>
      </w:r>
    </w:p>
    <w:p w14:paraId="26982719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[6] Jasper L., Seubert C., Schaub H., Trushkyakov V., Yutkin E., Tethered tug for large </w:t>
      </w:r>
    </w:p>
    <w:p w14:paraId="3620A786" w14:textId="77777777" w:rsidR="00DB5881" w:rsidRPr="00DB5881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 xml:space="preserve">low earth orbit debris removal, AAS/AIAA Astrodynamics Specialists Conference, </w:t>
      </w:r>
    </w:p>
    <w:p w14:paraId="44F1A7A1" w14:textId="1F786080" w:rsidR="00CB56FA" w:rsidRDefault="00DB5881" w:rsidP="00DB5881">
      <w:pPr>
        <w:rPr>
          <w:rFonts w:ascii="Times New Roman" w:hAnsi="Times New Roman" w:cs="Times New Roman"/>
          <w:sz w:val="20"/>
          <w:szCs w:val="20"/>
        </w:rPr>
      </w:pPr>
      <w:r w:rsidRPr="00DB5881">
        <w:rPr>
          <w:rFonts w:ascii="Times New Roman" w:hAnsi="Times New Roman" w:cs="Times New Roman"/>
          <w:sz w:val="20"/>
          <w:szCs w:val="20"/>
        </w:rPr>
        <w:t>U.S.A., 2012, (Preprint) AAS 12-252, pp 1-20;</w:t>
      </w:r>
    </w:p>
    <w:p w14:paraId="4BAF5F7B" w14:textId="1468A4B3" w:rsidR="000050D1" w:rsidRPr="000050D1" w:rsidRDefault="00DB5881" w:rsidP="000050D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[7]</w:t>
      </w:r>
      <w:r w:rsidR="000050D1">
        <w:rPr>
          <w:rFonts w:ascii="Times New Roman" w:hAnsi="Times New Roman" w:cs="Times New Roman"/>
          <w:sz w:val="20"/>
          <w:szCs w:val="20"/>
          <w:lang w:val="en-US"/>
        </w:rPr>
        <w:t xml:space="preserve">Andrei Craifaleanu, </w:t>
      </w:r>
      <w:r w:rsidR="000050D1" w:rsidRPr="000050D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0050D1">
        <w:rPr>
          <w:rFonts w:ascii="Times New Roman" w:hAnsi="Times New Roman" w:cs="Times New Roman"/>
          <w:sz w:val="20"/>
          <w:szCs w:val="20"/>
          <w:lang w:val="en-US"/>
        </w:rPr>
        <w:t>ynamic</w:t>
      </w:r>
      <w:r w:rsidR="000050D1"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E</w:t>
      </w:r>
      <w:r w:rsidR="000050D1">
        <w:rPr>
          <w:rFonts w:ascii="Times New Roman" w:hAnsi="Times New Roman" w:cs="Times New Roman"/>
          <w:sz w:val="20"/>
          <w:szCs w:val="20"/>
          <w:lang w:val="en-US"/>
        </w:rPr>
        <w:t>ffects</w:t>
      </w:r>
      <w:r w:rsidR="000050D1"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050D1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0050D1"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S</w:t>
      </w:r>
      <w:r w:rsidR="000050D1">
        <w:rPr>
          <w:rFonts w:ascii="Times New Roman" w:hAnsi="Times New Roman" w:cs="Times New Roman"/>
          <w:sz w:val="20"/>
          <w:szCs w:val="20"/>
          <w:lang w:val="en-US"/>
        </w:rPr>
        <w:t>pace</w:t>
      </w:r>
      <w:r w:rsidR="000050D1"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S</w:t>
      </w:r>
      <w:r w:rsidR="000050D1">
        <w:rPr>
          <w:rFonts w:ascii="Times New Roman" w:hAnsi="Times New Roman" w:cs="Times New Roman"/>
          <w:sz w:val="20"/>
          <w:szCs w:val="20"/>
          <w:lang w:val="en-US"/>
        </w:rPr>
        <w:t>tations</w:t>
      </w:r>
      <w:r w:rsidR="000050D1"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050D1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0050D1"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0050D1">
        <w:rPr>
          <w:rFonts w:ascii="Times New Roman" w:hAnsi="Times New Roman" w:cs="Times New Roman"/>
          <w:sz w:val="20"/>
          <w:szCs w:val="20"/>
          <w:lang w:val="en-US"/>
        </w:rPr>
        <w:t>rtificial</w:t>
      </w:r>
      <w:r w:rsidR="000050D1"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G</w:t>
      </w:r>
      <w:r w:rsidR="000050D1">
        <w:rPr>
          <w:rFonts w:ascii="Times New Roman" w:hAnsi="Times New Roman" w:cs="Times New Roman"/>
          <w:sz w:val="20"/>
          <w:szCs w:val="20"/>
          <w:lang w:val="en-US"/>
        </w:rPr>
        <w:t>ravity</w:t>
      </w:r>
      <w:r w:rsidR="000050D1"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81AC07A" w14:textId="49589129" w:rsidR="00DB5881" w:rsidRPr="00DB5881" w:rsidRDefault="000050D1" w:rsidP="000050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50D1"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>roduced</w:t>
      </w:r>
      <w:r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R</w:t>
      </w:r>
      <w:r>
        <w:rPr>
          <w:rFonts w:ascii="Times New Roman" w:hAnsi="Times New Roman" w:cs="Times New Roman"/>
          <w:sz w:val="20"/>
          <w:szCs w:val="20"/>
          <w:lang w:val="en-US"/>
        </w:rPr>
        <w:t>otating</w:t>
      </w:r>
      <w:r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>
        <w:rPr>
          <w:rFonts w:ascii="Times New Roman" w:hAnsi="Times New Roman" w:cs="Times New Roman"/>
          <w:sz w:val="20"/>
          <w:szCs w:val="20"/>
          <w:lang w:val="en-US"/>
        </w:rPr>
        <w:t>ethered</w:t>
      </w:r>
      <w:r w:rsidRPr="000050D1">
        <w:rPr>
          <w:rFonts w:ascii="Times New Roman" w:hAnsi="Times New Roman" w:cs="Times New Roman"/>
          <w:sz w:val="20"/>
          <w:szCs w:val="20"/>
          <w:lang w:val="en-US"/>
        </w:rPr>
        <w:t xml:space="preserve"> B</w:t>
      </w:r>
      <w:r>
        <w:rPr>
          <w:rFonts w:ascii="Times New Roman" w:hAnsi="Times New Roman" w:cs="Times New Roman"/>
          <w:sz w:val="20"/>
          <w:szCs w:val="20"/>
          <w:lang w:val="en-US"/>
        </w:rPr>
        <w:t>odies,Universitatea Politehnică București</w:t>
      </w:r>
    </w:p>
    <w:p w14:paraId="46D58907" w14:textId="77777777" w:rsidR="00966295" w:rsidRDefault="00966295" w:rsidP="00417E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77E5D6" w14:textId="00B92859" w:rsidR="00966295" w:rsidRDefault="00966295" w:rsidP="00417E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D9D7F" w14:textId="77777777" w:rsidR="00966295" w:rsidRPr="00417E96" w:rsidRDefault="00966295" w:rsidP="00417E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86F48" w14:textId="77777777" w:rsidR="007A2645" w:rsidRPr="007A2645" w:rsidRDefault="007A2645" w:rsidP="007A2645">
      <w:pPr>
        <w:rPr>
          <w:rFonts w:ascii="Times New Roman" w:hAnsi="Times New Roman" w:cs="Times New Roman"/>
          <w:sz w:val="24"/>
          <w:szCs w:val="24"/>
        </w:rPr>
      </w:pPr>
    </w:p>
    <w:sectPr w:rsidR="007A2645" w:rsidRPr="007A2645" w:rsidSect="00DB5881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0125" w14:textId="77777777" w:rsidR="009F6D07" w:rsidRDefault="009F6D07" w:rsidP="00DB5881">
      <w:pPr>
        <w:spacing w:after="0" w:line="240" w:lineRule="auto"/>
      </w:pPr>
      <w:r>
        <w:separator/>
      </w:r>
    </w:p>
  </w:endnote>
  <w:endnote w:type="continuationSeparator" w:id="0">
    <w:p w14:paraId="0297B766" w14:textId="77777777" w:rsidR="009F6D07" w:rsidRDefault="009F6D07" w:rsidP="00DB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222380"/>
      <w:docPartObj>
        <w:docPartGallery w:val="Page Numbers (Bottom of Page)"/>
        <w:docPartUnique/>
      </w:docPartObj>
    </w:sdtPr>
    <w:sdtEndPr/>
    <w:sdtContent>
      <w:p w14:paraId="1089B019" w14:textId="536C211F" w:rsidR="00DB5881" w:rsidRDefault="00DB5881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1269AE" w14:textId="4641838B" w:rsidR="00DB5881" w:rsidRDefault="00DB5881" w:rsidP="00DB5881">
    <w:pPr>
      <w:pStyle w:val="Subsol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626452"/>
      <w:docPartObj>
        <w:docPartGallery w:val="Page Numbers (Bottom of Page)"/>
        <w:docPartUnique/>
      </w:docPartObj>
    </w:sdtPr>
    <w:sdtEndPr/>
    <w:sdtContent>
      <w:p w14:paraId="16C1B58C" w14:textId="62E1DC67" w:rsidR="00DB5881" w:rsidRDefault="00DB5881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5001A" w14:textId="77777777" w:rsidR="00DB5881" w:rsidRDefault="00DB588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B32D2" w14:textId="77777777" w:rsidR="009F6D07" w:rsidRDefault="009F6D07" w:rsidP="00DB5881">
      <w:pPr>
        <w:spacing w:after="0" w:line="240" w:lineRule="auto"/>
      </w:pPr>
      <w:r>
        <w:separator/>
      </w:r>
    </w:p>
  </w:footnote>
  <w:footnote w:type="continuationSeparator" w:id="0">
    <w:p w14:paraId="5FF00E09" w14:textId="77777777" w:rsidR="009F6D07" w:rsidRDefault="009F6D07" w:rsidP="00DB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3EA6" w14:textId="68881947" w:rsidR="00DB5881" w:rsidRPr="00DB5881" w:rsidRDefault="00DB5881" w:rsidP="00DB5881">
    <w:pPr>
      <w:pStyle w:val="Antet"/>
      <w:jc w:val="right"/>
      <w:rPr>
        <w:b/>
        <w:bCs/>
        <w:u w:val="single"/>
      </w:rPr>
    </w:pPr>
    <w:r w:rsidRPr="00DB5881">
      <w:rPr>
        <w:b/>
        <w:bCs/>
        <w:u w:val="single"/>
      </w:rPr>
      <w:t>Sistem de vehicule spațiale legate prin fire</w:t>
    </w:r>
  </w:p>
  <w:p w14:paraId="6AD7C81F" w14:textId="77777777" w:rsidR="00DB5881" w:rsidRDefault="00DB588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7889" w14:textId="56942A65" w:rsidR="00DB5881" w:rsidRDefault="00DB5881">
    <w:pPr>
      <w:pStyle w:val="Antet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1F"/>
    <w:rsid w:val="000050D1"/>
    <w:rsid w:val="002F2106"/>
    <w:rsid w:val="00417E96"/>
    <w:rsid w:val="004430D6"/>
    <w:rsid w:val="0052714D"/>
    <w:rsid w:val="00632976"/>
    <w:rsid w:val="006621E0"/>
    <w:rsid w:val="006A19B9"/>
    <w:rsid w:val="007A2645"/>
    <w:rsid w:val="007C3F20"/>
    <w:rsid w:val="00966295"/>
    <w:rsid w:val="009730D1"/>
    <w:rsid w:val="009B019C"/>
    <w:rsid w:val="009F6D07"/>
    <w:rsid w:val="00A56B6F"/>
    <w:rsid w:val="00AB085A"/>
    <w:rsid w:val="00AF5102"/>
    <w:rsid w:val="00BB2C1F"/>
    <w:rsid w:val="00C65006"/>
    <w:rsid w:val="00CB56FA"/>
    <w:rsid w:val="00D321A4"/>
    <w:rsid w:val="00DB5881"/>
    <w:rsid w:val="00D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44DE"/>
  <w15:chartTrackingRefBased/>
  <w15:docId w15:val="{C7B2479E-D1DA-4416-A6E7-DC511EAC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DB5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B5881"/>
    <w:rPr>
      <w:noProof/>
    </w:rPr>
  </w:style>
  <w:style w:type="paragraph" w:styleId="Subsol">
    <w:name w:val="footer"/>
    <w:basedOn w:val="Normal"/>
    <w:link w:val="SubsolCaracter"/>
    <w:uiPriority w:val="99"/>
    <w:unhideWhenUsed/>
    <w:rsid w:val="00DB5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B588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F0A2A-DEDF-4091-8837-83533AF6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814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Andrei-Lucian GROSOIU</dc:creator>
  <cp:keywords/>
  <dc:description/>
  <cp:lastModifiedBy>Andrei-Lucian GROSOIU</cp:lastModifiedBy>
  <cp:revision>4</cp:revision>
  <dcterms:created xsi:type="dcterms:W3CDTF">2021-05-13T14:44:00Z</dcterms:created>
  <dcterms:modified xsi:type="dcterms:W3CDTF">2021-05-13T18:05:00Z</dcterms:modified>
</cp:coreProperties>
</file>