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D78"/>
          <w:sz w:val="32"/>
        </w:rPr>
        <w:t>ASHFORD &amp; CALLOWAY LLP</w:t>
      </w:r>
    </w:p>
    <w:p>
      <w:pPr>
        <w:spacing w:after="160"/>
        <w:jc w:val="center"/>
        <w:pBdr>
          <w:bottom w:val="single" w:sz="8" w:space="3" w:color="2E74B5"/>
        </w:pBdr>
      </w:pPr>
      <w:r>
        <w:rPr>
          <w:i/>
          <w:sz w:val="18"/>
        </w:rPr>
        <w:t>Counsel to Ridgewell Health Systems, Inc.</w:t>
      </w:r>
    </w:p>
    <w:p>
      <w:pPr>
        <w:spacing w:before="0" w:after="200" w:line="264" w:lineRule="auto"/>
      </w:pPr>
      <w:r>
        <w:rPr>
          <w:b w:val="0"/>
        </w:rPr>
        <w:t>May 5, 2025</w:t>
      </w:r>
    </w:p>
    <w:p>
      <w:pPr>
        <w:spacing w:before="0" w:after="0" w:line="264" w:lineRule="auto"/>
      </w:pPr>
      <w:r>
        <w:rPr>
          <w:b/>
        </w:rPr>
        <w:t>Harold Tsung, Chief Executive Officer</w:t>
      </w:r>
    </w:p>
    <w:p>
      <w:pPr>
        <w:spacing w:before="0" w:after="0" w:line="264" w:lineRule="auto"/>
      </w:pPr>
      <w:r>
        <w:rPr>
          <w:b w:val="0"/>
        </w:rPr>
        <w:t>Meridian Scientific Corporation</w:t>
      </w:r>
    </w:p>
    <w:p>
      <w:pPr>
        <w:spacing w:before="0" w:after="0" w:line="264" w:lineRule="auto"/>
      </w:pPr>
      <w:r>
        <w:rPr>
          <w:b w:val="0"/>
        </w:rPr>
        <w:t>7500 Lakeshore Industrial Boulevard, Suite 400</w:t>
      </w:r>
    </w:p>
    <w:p>
      <w:pPr>
        <w:spacing w:before="0" w:after="160" w:line="264" w:lineRule="auto"/>
      </w:pPr>
      <w:r>
        <w:rPr>
          <w:b w:val="0"/>
        </w:rPr>
        <w:t>Milwaukee, WI 53214</w:t>
      </w:r>
    </w:p>
    <w:p>
      <w:pPr>
        <w:spacing w:after="160"/>
        <w:keepNext/>
      </w:pPr>
      <w:r>
        <w:rPr>
          <w:b/>
        </w:rPr>
        <w:t xml:space="preserve">Re: </w:t>
      </w:r>
      <w:r>
        <w:t>Consent under Master Supply Agreement dated March 15, 2019</w:t>
      </w:r>
    </w:p>
    <w:p>
      <w:pPr>
        <w:spacing w:before="0" w:after="120" w:line="264" w:lineRule="auto"/>
        <w:keepNext/>
      </w:pPr>
      <w:r>
        <w:rPr>
          <w:b w:val="0"/>
        </w:rPr>
        <w:t>Dear Mr. Tsung:</w:t>
      </w:r>
    </w:p>
    <w:p>
      <w:pPr>
        <w:spacing w:before="0" w:after="120" w:line="264" w:lineRule="auto"/>
      </w:pPr>
      <w:r>
        <w:rPr>
          <w:b w:val="0"/>
        </w:rPr>
        <w:t>We represent Ridgewell Health Systems, Inc. ("Ridgewell") in its acquisition of 100% of the outstanding capital stock of Luminos Diagnostics, Inc. ("Luminos") under the Stock Purchase Agreement dated April 14, 2025. The parties are targeting a June 30, 2025 closing.</w:t>
      </w:r>
    </w:p>
    <w:p>
      <w:pPr>
        <w:spacing w:before="0" w:after="120" w:line="264" w:lineRule="auto"/>
      </w:pPr>
      <w:r>
        <w:rPr>
          <w:b w:val="0"/>
        </w:rPr>
        <w:t>Sections 12.3 and 12.4(a)(ii) of the Master Supply Agreement dated March 15, 2019 require Meridian Scientific Corporation's prior written consent to this change of control. An unconsented change of control would constitute an Event of Default and permit termination on 30 days' notice.</w:t>
      </w:r>
    </w:p>
    <w:p>
      <w:pPr>
        <w:spacing w:before="0" w:after="120" w:line="264" w:lineRule="auto"/>
      </w:pPr>
      <w:r>
        <w:rPr>
          <w:b w:val="0"/>
        </w:rPr>
        <w:t>Ridgewell intends to preserve Luminos' operations and its supply relationship with Meridian. On behalf of Luminos, we request Meridian's written consent to the transaction and confirmation that the transaction will not constitute an Event of Default or create a termination right under the agreement. Except for that consent and confirmation, the agreement will remain unchanged and in full force.</w:t>
      </w:r>
    </w:p>
    <w:p>
      <w:pPr>
        <w:spacing w:before="0" w:after="120" w:line="264" w:lineRule="auto"/>
      </w:pPr>
      <w:r>
        <w:rPr>
          <w:b w:val="0"/>
        </w:rPr>
        <w:t>Please sign and return the acknowledgment below by May 16, 2025. We are available promptly to discuss operational continuity, credit support, or other reasonable implementation matters.</w:t>
      </w:r>
    </w:p>
    <w:p>
      <w:pPr>
        <w:spacing w:before="0" w:after="40" w:line="264" w:lineRule="auto"/>
      </w:pPr>
      <w:r>
        <w:rPr>
          <w:b w:val="0"/>
        </w:rPr>
        <w:t>Sincerely,</w:t>
      </w:r>
    </w:p>
    <w:p>
      <w:pPr>
        <w:spacing w:before="0" w:after="360" w:line="264" w:lineRule="auto"/>
      </w:pPr>
      <w:r>
        <w:rPr>
          <w:b/>
        </w:rPr>
        <w:t>ASHFORD &amp; CALLOWAY LLP</w:t>
      </w:r>
    </w:p>
    <w:p>
      <w:pPr>
        <w:spacing w:before="0" w:after="0" w:line="264" w:lineRule="auto"/>
      </w:pPr>
      <w:r>
        <w:rPr>
          <w:b w:val="0"/>
        </w:rPr>
        <w:t>By: /s/ Priya Nair</w:t>
      </w:r>
    </w:p>
    <w:p>
      <w:pPr>
        <w:spacing w:before="0" w:after="160" w:line="264" w:lineRule="auto"/>
      </w:pPr>
      <w:r>
        <w:rPr>
          <w:b w:val="0"/>
        </w:rPr>
        <w:t>Priya Nair, Partner</w:t>
      </w:r>
    </w:p>
    <w:tbl>
      <w:tblPr>
        <w:tblW w:type="auto" w:w="0"/>
        <w:tblLayout w:type="fixed"/>
        <w:tblLook w:firstColumn="1" w:firstRow="1" w:lastColumn="0" w:lastRow="0" w:noHBand="0" w:noVBand="1" w:val="04A0"/>
      </w:tblPr>
      <w:tblGrid>
        <w:gridCol w:w="9360"/>
      </w:tblGrid>
      <w:tr>
        <w:tc>
          <w:tcPr>
            <w:tcW w:type="dxa" w:w="9360"/>
            <w:tcMar>
              <w:top w:w="20" w:type="dxa"/>
              <w:start w:w="0" w:type="dxa"/>
              <w:bottom w:w="20" w:type="dxa"/>
              <w:end w:w="0" w:type="dxa"/>
            </w:tcMar>
            <w:vAlign w:val="center"/>
          </w:tcPr>
          <w:p>
            <w:pPr>
              <w:spacing w:after="0"/>
            </w:pPr>
            <w:r>
              <w:rPr>
                <w:b/>
              </w:rPr>
              <w:t>CONSENTED AND AGREED by MERIDIAN SCIENTIFIC CORPORATION:</w:t>
            </w:r>
          </w:p>
        </w:tc>
      </w:tr>
      <w:tr>
        <w:tc>
          <w:tcPr>
            <w:tcW w:type="dxa" w:w="9360"/>
            <w:tcMar>
              <w:top w:w="20" w:type="dxa"/>
              <w:start w:w="0" w:type="dxa"/>
              <w:bottom w:w="20" w:type="dxa"/>
              <w:end w:w="0" w:type="dxa"/>
            </w:tcMar>
            <w:vAlign w:val="center"/>
          </w:tcPr>
          <w:p>
            <w:pPr>
              <w:spacing w:after="0"/>
            </w:pPr>
            <w:r/>
          </w:p>
        </w:tc>
      </w:tr>
      <w:tr>
        <w:tc>
          <w:tcPr>
            <w:tcW w:type="dxa" w:w="9360"/>
            <w:tcMar>
              <w:top w:w="20" w:type="dxa"/>
              <w:start w:w="0" w:type="dxa"/>
              <w:bottom w:w="20" w:type="dxa"/>
              <w:end w:w="0" w:type="dxa"/>
            </w:tcMar>
            <w:vAlign w:val="center"/>
          </w:tcPr>
          <w:p>
            <w:pPr>
              <w:spacing w:after="0"/>
            </w:pPr>
            <w:r>
              <w:t>By: ____________________________________</w:t>
            </w:r>
          </w:p>
        </w:tc>
      </w:tr>
      <w:tr>
        <w:tc>
          <w:tcPr>
            <w:tcW w:type="dxa" w:w="9360"/>
            <w:tcMar>
              <w:top w:w="20" w:type="dxa"/>
              <w:start w:w="0" w:type="dxa"/>
              <w:bottom w:w="20" w:type="dxa"/>
              <w:end w:w="0" w:type="dxa"/>
            </w:tcMar>
            <w:vAlign w:val="center"/>
          </w:tcPr>
          <w:p>
            <w:pPr>
              <w:spacing w:after="0"/>
            </w:pPr>
            <w:r>
              <w:t>Name/Title: Harold Tsung, Chief Executive Officer</w:t>
            </w:r>
          </w:p>
        </w:tc>
      </w:tr>
      <w:tr>
        <w:tc>
          <w:tcPr>
            <w:tcW w:type="dxa" w:w="9360"/>
            <w:tcMar>
              <w:top w:w="20" w:type="dxa"/>
              <w:start w:w="0" w:type="dxa"/>
              <w:bottom w:w="20" w:type="dxa"/>
              <w:end w:w="0" w:type="dxa"/>
            </w:tcMar>
            <w:vAlign w:val="center"/>
          </w:tcPr>
          <w:p>
            <w:pPr>
              <w:spacing w:after="0"/>
            </w:pPr>
            <w:r>
              <w:t>Date: __________________________________</w:t>
            </w:r>
          </w:p>
        </w:tc>
      </w:tr>
    </w:tbl>
    <w:p>
      <w:r>
        <w:br w:type="page"/>
      </w:r>
    </w:p>
    <w:p>
      <w:pPr>
        <w:spacing w:after="40"/>
        <w:jc w:val="center"/>
      </w:pPr>
      <w:r>
        <w:rPr>
          <w:b/>
          <w:color w:val="1F4D78"/>
          <w:sz w:val="32"/>
        </w:rPr>
        <w:t>ASHFORD &amp; CALLOWAY LLP</w:t>
      </w:r>
    </w:p>
    <w:p>
      <w:pPr>
        <w:spacing w:after="160"/>
        <w:jc w:val="center"/>
        <w:pBdr>
          <w:bottom w:val="single" w:sz="8" w:space="3" w:color="2E74B5"/>
        </w:pBdr>
      </w:pPr>
      <w:r>
        <w:rPr>
          <w:i/>
          <w:sz w:val="18"/>
        </w:rPr>
        <w:t>Counsel to Ridgewell Health Systems, Inc.</w:t>
      </w:r>
    </w:p>
    <w:p>
      <w:pPr>
        <w:spacing w:before="0" w:after="200" w:line="264" w:lineRule="auto"/>
      </w:pPr>
      <w:r>
        <w:rPr>
          <w:b w:val="0"/>
        </w:rPr>
        <w:t>May 5, 2025</w:t>
      </w:r>
    </w:p>
    <w:p>
      <w:pPr>
        <w:spacing w:before="0" w:after="0" w:line="264" w:lineRule="auto"/>
      </w:pPr>
      <w:r>
        <w:rPr>
          <w:b/>
        </w:rPr>
        <w:t>Hans Brenner, Vice President, Commercial Operations</w:t>
      </w:r>
    </w:p>
    <w:p>
      <w:pPr>
        <w:spacing w:before="0" w:after="0" w:line="264" w:lineRule="auto"/>
      </w:pPr>
      <w:r>
        <w:rPr>
          <w:b w:val="0"/>
        </w:rPr>
        <w:t>Apex Instruments GmbH</w:t>
      </w:r>
    </w:p>
    <w:p>
      <w:pPr>
        <w:spacing w:before="0" w:after="0" w:line="264" w:lineRule="auto"/>
      </w:pPr>
      <w:r>
        <w:rPr>
          <w:b w:val="0"/>
        </w:rPr>
        <w:t>Industriestrasse 47</w:t>
      </w:r>
    </w:p>
    <w:p>
      <w:pPr>
        <w:spacing w:before="0" w:after="160" w:line="264" w:lineRule="auto"/>
      </w:pPr>
      <w:r>
        <w:rPr>
          <w:b w:val="0"/>
        </w:rPr>
        <w:t>8005 Zurich, Switzerland</w:t>
      </w:r>
    </w:p>
    <w:p>
      <w:pPr>
        <w:spacing w:after="160"/>
        <w:keepNext/>
      </w:pPr>
      <w:r>
        <w:rPr>
          <w:b/>
        </w:rPr>
        <w:t xml:space="preserve">Re: </w:t>
      </w:r>
      <w:r>
        <w:t>Consent under Exclusive Distribution Agreement dated September 1, 2021</w:t>
      </w:r>
    </w:p>
    <w:p>
      <w:pPr>
        <w:spacing w:before="0" w:after="120" w:line="264" w:lineRule="auto"/>
        <w:keepNext/>
      </w:pPr>
      <w:r>
        <w:rPr>
          <w:b w:val="0"/>
        </w:rPr>
        <w:t>Dear Mr. Brenner:</w:t>
      </w:r>
    </w:p>
    <w:p>
      <w:pPr>
        <w:spacing w:before="0" w:after="120" w:line="264" w:lineRule="auto"/>
      </w:pPr>
      <w:r>
        <w:rPr>
          <w:b w:val="0"/>
        </w:rPr>
        <w:t>We represent Ridgewell Health Systems, Inc. ("Ridgewell") in its acquisition of 100% of the outstanding capital stock of Luminos Diagnostics, Inc. ("Luminos") under the Stock Purchase Agreement dated April 14, 2025. The parties are targeting a June 30, 2025 closing.</w:t>
      </w:r>
    </w:p>
    <w:p>
      <w:pPr>
        <w:spacing w:before="0" w:after="120" w:line="264" w:lineRule="auto"/>
      </w:pPr>
      <w:r>
        <w:rPr>
          <w:b w:val="0"/>
        </w:rPr>
        <w:t>Section 15.1 of the Exclusive Distribution Agreement dated September 1, 2021 treats a change of control as an assignment requiring Apex Instruments GmbH's prior written consent. Section 15.2 provides that an unauthorized assignment is null and void ab initio.</w:t>
      </w:r>
    </w:p>
    <w:p>
      <w:pPr>
        <w:spacing w:before="0" w:after="120" w:line="264" w:lineRule="auto"/>
      </w:pPr>
      <w:r>
        <w:rPr>
          <w:b w:val="0"/>
        </w:rPr>
        <w:t>Ridgewell and Luminos intend to continue performance, including the agreement's exclusivity and minimum-purchase framework. We understand Apex is also evaluating a potential arrangement with NovaCare Diagnostics; that competitive context makes prompt confirmation of the parties' continuing relationship important. On behalf of Luminos, we request Apex's written consent to the transaction and confirmation that the transaction will not result in a prohibited or void assignment. Except for that consent and confirmation, the agreement will remain unchanged and in full force.</w:t>
      </w:r>
    </w:p>
    <w:p>
      <w:pPr>
        <w:spacing w:before="0" w:after="120" w:line="264" w:lineRule="auto"/>
      </w:pPr>
      <w:r>
        <w:rPr>
          <w:b w:val="0"/>
        </w:rPr>
        <w:t>Please sign and return the acknowledgment below by May 16, 2025. We welcome a prompt discussion regarding the parties' continuing commercial relationship.</w:t>
      </w:r>
    </w:p>
    <w:p>
      <w:pPr>
        <w:spacing w:before="0" w:after="40" w:line="264" w:lineRule="auto"/>
      </w:pPr>
      <w:r>
        <w:rPr>
          <w:b w:val="0"/>
        </w:rPr>
        <w:t>Sincerely,</w:t>
      </w:r>
    </w:p>
    <w:p>
      <w:pPr>
        <w:spacing w:before="0" w:after="360" w:line="264" w:lineRule="auto"/>
      </w:pPr>
      <w:r>
        <w:rPr>
          <w:b/>
        </w:rPr>
        <w:t>ASHFORD &amp; CALLOWAY LLP</w:t>
      </w:r>
    </w:p>
    <w:p>
      <w:pPr>
        <w:spacing w:before="0" w:after="0" w:line="264" w:lineRule="auto"/>
      </w:pPr>
      <w:r>
        <w:rPr>
          <w:b w:val="0"/>
        </w:rPr>
        <w:t>By: /s/ Priya Nair</w:t>
      </w:r>
    </w:p>
    <w:p>
      <w:pPr>
        <w:spacing w:before="0" w:after="160" w:line="264" w:lineRule="auto"/>
      </w:pPr>
      <w:r>
        <w:rPr>
          <w:b w:val="0"/>
        </w:rPr>
        <w:t>Priya Nair, Partner</w:t>
      </w:r>
    </w:p>
    <w:tbl>
      <w:tblPr>
        <w:tblW w:type="auto" w:w="0"/>
        <w:tblLayout w:type="fixed"/>
        <w:tblLook w:firstColumn="1" w:firstRow="1" w:lastColumn="0" w:lastRow="0" w:noHBand="0" w:noVBand="1" w:val="04A0"/>
      </w:tblPr>
      <w:tblGrid>
        <w:gridCol w:w="9360"/>
      </w:tblGrid>
      <w:tr>
        <w:tc>
          <w:tcPr>
            <w:tcW w:type="dxa" w:w="9360"/>
            <w:tcMar>
              <w:top w:w="20" w:type="dxa"/>
              <w:start w:w="0" w:type="dxa"/>
              <w:bottom w:w="20" w:type="dxa"/>
              <w:end w:w="0" w:type="dxa"/>
            </w:tcMar>
            <w:vAlign w:val="center"/>
          </w:tcPr>
          <w:p>
            <w:pPr>
              <w:spacing w:after="0"/>
            </w:pPr>
            <w:r>
              <w:rPr>
                <w:b/>
              </w:rPr>
              <w:t>CONSENTED AND AGREED by APEX INSTRUMENTS GMBH:</w:t>
            </w:r>
          </w:p>
        </w:tc>
      </w:tr>
      <w:tr>
        <w:tc>
          <w:tcPr>
            <w:tcW w:type="dxa" w:w="9360"/>
            <w:tcMar>
              <w:top w:w="20" w:type="dxa"/>
              <w:start w:w="0" w:type="dxa"/>
              <w:bottom w:w="20" w:type="dxa"/>
              <w:end w:w="0" w:type="dxa"/>
            </w:tcMar>
            <w:vAlign w:val="center"/>
          </w:tcPr>
          <w:p>
            <w:pPr>
              <w:spacing w:after="0"/>
            </w:pPr>
            <w:r/>
          </w:p>
        </w:tc>
      </w:tr>
      <w:tr>
        <w:tc>
          <w:tcPr>
            <w:tcW w:type="dxa" w:w="9360"/>
            <w:tcMar>
              <w:top w:w="20" w:type="dxa"/>
              <w:start w:w="0" w:type="dxa"/>
              <w:bottom w:w="20" w:type="dxa"/>
              <w:end w:w="0" w:type="dxa"/>
            </w:tcMar>
            <w:vAlign w:val="center"/>
          </w:tcPr>
          <w:p>
            <w:pPr>
              <w:spacing w:after="0"/>
            </w:pPr>
            <w:r>
              <w:t>By: ____________________________________</w:t>
            </w:r>
          </w:p>
        </w:tc>
      </w:tr>
      <w:tr>
        <w:tc>
          <w:tcPr>
            <w:tcW w:type="dxa" w:w="9360"/>
            <w:tcMar>
              <w:top w:w="20" w:type="dxa"/>
              <w:start w:w="0" w:type="dxa"/>
              <w:bottom w:w="20" w:type="dxa"/>
              <w:end w:w="0" w:type="dxa"/>
            </w:tcMar>
            <w:vAlign w:val="center"/>
          </w:tcPr>
          <w:p>
            <w:pPr>
              <w:spacing w:after="0"/>
            </w:pPr>
            <w:r>
              <w:t>Name/Title: Hans Brenner, Vice President, Commercial Operations</w:t>
            </w:r>
          </w:p>
        </w:tc>
      </w:tr>
      <w:tr>
        <w:tc>
          <w:tcPr>
            <w:tcW w:type="dxa" w:w="9360"/>
            <w:tcMar>
              <w:top w:w="20" w:type="dxa"/>
              <w:start w:w="0" w:type="dxa"/>
              <w:bottom w:w="20" w:type="dxa"/>
              <w:end w:w="0" w:type="dxa"/>
            </w:tcMar>
            <w:vAlign w:val="center"/>
          </w:tcPr>
          <w:p>
            <w:pPr>
              <w:spacing w:after="0"/>
            </w:pPr>
            <w:r>
              <w:t>Date: __________________________________</w:t>
            </w:r>
          </w:p>
        </w:tc>
      </w:tr>
    </w:tbl>
    <w:p>
      <w:r>
        <w:br w:type="page"/>
      </w:r>
    </w:p>
    <w:p>
      <w:pPr>
        <w:spacing w:after="40"/>
        <w:jc w:val="center"/>
      </w:pPr>
      <w:r>
        <w:rPr>
          <w:b/>
          <w:color w:val="1F4D78"/>
          <w:sz w:val="32"/>
        </w:rPr>
        <w:t>ASHFORD &amp; CALLOWAY LLP</w:t>
      </w:r>
    </w:p>
    <w:p>
      <w:pPr>
        <w:spacing w:after="160"/>
        <w:jc w:val="center"/>
        <w:pBdr>
          <w:bottom w:val="single" w:sz="8" w:space="3" w:color="2E74B5"/>
        </w:pBdr>
      </w:pPr>
      <w:r>
        <w:rPr>
          <w:i/>
          <w:sz w:val="18"/>
        </w:rPr>
        <w:t>Counsel to Ridgewell Health Systems, Inc.</w:t>
      </w:r>
    </w:p>
    <w:p>
      <w:pPr>
        <w:spacing w:before="0" w:after="200" w:line="264" w:lineRule="auto"/>
      </w:pPr>
      <w:r>
        <w:rPr>
          <w:b w:val="0"/>
        </w:rPr>
        <w:t>May 5, 2025</w:t>
      </w:r>
    </w:p>
    <w:p>
      <w:pPr>
        <w:spacing w:before="0" w:after="0" w:line="264" w:lineRule="auto"/>
      </w:pPr>
      <w:r>
        <w:rPr>
          <w:b/>
        </w:rPr>
        <w:t>Samara Obi, General Counsel</w:t>
      </w:r>
    </w:p>
    <w:p>
      <w:pPr>
        <w:spacing w:before="0" w:after="0" w:line="264" w:lineRule="auto"/>
      </w:pPr>
      <w:r>
        <w:rPr>
          <w:b w:val="0"/>
        </w:rPr>
        <w:t>Trident Bioworks, Inc.</w:t>
      </w:r>
    </w:p>
    <w:p>
      <w:pPr>
        <w:spacing w:before="0" w:after="0" w:line="264" w:lineRule="auto"/>
      </w:pPr>
      <w:r>
        <w:rPr>
          <w:b w:val="0"/>
        </w:rPr>
        <w:t>7500 Bayshore Technology Center, Suite 400</w:t>
      </w:r>
    </w:p>
    <w:p>
      <w:pPr>
        <w:spacing w:before="0" w:after="160" w:line="264" w:lineRule="auto"/>
      </w:pPr>
      <w:r>
        <w:rPr>
          <w:b w:val="0"/>
        </w:rPr>
        <w:t>San Diego, CA 92121</w:t>
      </w:r>
    </w:p>
    <w:p>
      <w:pPr>
        <w:spacing w:after="160"/>
        <w:keepNext/>
      </w:pPr>
      <w:r>
        <w:rPr>
          <w:b/>
        </w:rPr>
        <w:t xml:space="preserve">Re: </w:t>
      </w:r>
      <w:r>
        <w:t>Consent and tailored waiver under Co-Development Agreement dated January 10, 2023</w:t>
      </w:r>
    </w:p>
    <w:p>
      <w:pPr>
        <w:spacing w:before="0" w:after="120" w:line="264" w:lineRule="auto"/>
        <w:keepNext/>
      </w:pPr>
      <w:r>
        <w:rPr>
          <w:b w:val="0"/>
        </w:rPr>
        <w:t>Dear Ms. Obi:</w:t>
      </w:r>
    </w:p>
    <w:p>
      <w:pPr>
        <w:spacing w:before="0" w:after="120" w:line="264" w:lineRule="auto"/>
      </w:pPr>
      <w:r>
        <w:rPr>
          <w:b w:val="0"/>
        </w:rPr>
        <w:t>We represent Ridgewell Health Systems, Inc. ("Ridgewell") in its acquisition of 100% of the outstanding capital stock of Luminos Diagnostics, Inc. ("Luminos") under the Stock Purchase Agreement dated April 14, 2025. The parties are targeting a June 30, 2025 closing.</w:t>
      </w:r>
    </w:p>
    <w:p>
      <w:pPr>
        <w:spacing w:before="0" w:after="120" w:line="264" w:lineRule="auto"/>
      </w:pPr>
      <w:r>
        <w:rPr>
          <w:b w:val="0"/>
        </w:rPr>
        <w:t>Sections 14.1 and 14.2 of the Co-Development Agreement dated January 10, 2023 require Trident Bioworks, Inc.'s consent and address an acquisition by a Competing Business. Ridgewell owns PulmoTech Diagnostics, whose respiratory-diagnostics business represents approximately 32% of Ridgewell's revenue, above the agreement's 25% threshold.</w:t>
      </w:r>
    </w:p>
    <w:p>
      <w:pPr>
        <w:spacing w:before="0" w:after="120" w:line="264" w:lineRule="auto"/>
      </w:pPr>
      <w:r>
        <w:rPr>
          <w:b w:val="0"/>
        </w:rPr>
        <w:t>Ridgewell acknowledges those provisions and is committed to full compliance. Ridgewell proposes documented information barriers separating PulmoTech personnel from Trident confidential information, access controls and need-to-know protocols, and annual compliance certifications. We request Trident's written consent and a tailored waiver or narrowing of the three-year Competitor Restrictions so the transaction can close without termination or impairment of the RespiPlex collaboration. Except as expressly agreed, the agreement will remain unchanged.</w:t>
      </w:r>
    </w:p>
    <w:p>
      <w:pPr>
        <w:spacing w:before="0" w:after="120" w:line="264" w:lineRule="auto"/>
      </w:pPr>
      <w:r>
        <w:rPr>
          <w:b w:val="0"/>
        </w:rPr>
        <w:t>Please sign and return the acknowledgment below by May 16, 2025, or contact us promptly to discuss the proposed safeguards and an appropriately scoped restriction.</w:t>
      </w:r>
    </w:p>
    <w:p>
      <w:pPr>
        <w:spacing w:before="0" w:after="40" w:line="264" w:lineRule="auto"/>
      </w:pPr>
      <w:r>
        <w:rPr>
          <w:b w:val="0"/>
        </w:rPr>
        <w:t>Sincerely,</w:t>
      </w:r>
    </w:p>
    <w:p>
      <w:pPr>
        <w:spacing w:before="0" w:after="360" w:line="264" w:lineRule="auto"/>
      </w:pPr>
      <w:r>
        <w:rPr>
          <w:b/>
        </w:rPr>
        <w:t>ASHFORD &amp; CALLOWAY LLP</w:t>
      </w:r>
    </w:p>
    <w:p>
      <w:pPr>
        <w:spacing w:before="0" w:after="0" w:line="264" w:lineRule="auto"/>
      </w:pPr>
      <w:r>
        <w:rPr>
          <w:b w:val="0"/>
        </w:rPr>
        <w:t>By: /s/ Priya Nair</w:t>
      </w:r>
    </w:p>
    <w:p>
      <w:pPr>
        <w:spacing w:before="0" w:after="160" w:line="264" w:lineRule="auto"/>
      </w:pPr>
      <w:r>
        <w:rPr>
          <w:b w:val="0"/>
        </w:rPr>
        <w:t>Priya Nair, Partner</w:t>
      </w:r>
    </w:p>
    <w:tbl>
      <w:tblPr>
        <w:tblW w:type="auto" w:w="0"/>
        <w:tblLayout w:type="fixed"/>
        <w:tblLook w:firstColumn="1" w:firstRow="1" w:lastColumn="0" w:lastRow="0" w:noHBand="0" w:noVBand="1" w:val="04A0"/>
      </w:tblPr>
      <w:tblGrid>
        <w:gridCol w:w="9360"/>
      </w:tblGrid>
      <w:tr>
        <w:tc>
          <w:tcPr>
            <w:tcW w:type="dxa" w:w="9360"/>
            <w:tcMar>
              <w:top w:w="20" w:type="dxa"/>
              <w:start w:w="0" w:type="dxa"/>
              <w:bottom w:w="20" w:type="dxa"/>
              <w:end w:w="0" w:type="dxa"/>
            </w:tcMar>
            <w:vAlign w:val="center"/>
          </w:tcPr>
          <w:p>
            <w:pPr>
              <w:spacing w:after="0"/>
            </w:pPr>
            <w:r>
              <w:rPr>
                <w:b/>
              </w:rPr>
              <w:t>CONSENTED AND AGREED by TRIDENT BIOWORKS, INC.:</w:t>
            </w:r>
          </w:p>
        </w:tc>
      </w:tr>
      <w:tr>
        <w:tc>
          <w:tcPr>
            <w:tcW w:type="dxa" w:w="9360"/>
            <w:tcMar>
              <w:top w:w="20" w:type="dxa"/>
              <w:start w:w="0" w:type="dxa"/>
              <w:bottom w:w="20" w:type="dxa"/>
              <w:end w:w="0" w:type="dxa"/>
            </w:tcMar>
            <w:vAlign w:val="center"/>
          </w:tcPr>
          <w:p>
            <w:pPr>
              <w:spacing w:after="0"/>
            </w:pPr>
            <w:r/>
          </w:p>
        </w:tc>
      </w:tr>
      <w:tr>
        <w:tc>
          <w:tcPr>
            <w:tcW w:type="dxa" w:w="9360"/>
            <w:tcMar>
              <w:top w:w="20" w:type="dxa"/>
              <w:start w:w="0" w:type="dxa"/>
              <w:bottom w:w="20" w:type="dxa"/>
              <w:end w:w="0" w:type="dxa"/>
            </w:tcMar>
            <w:vAlign w:val="center"/>
          </w:tcPr>
          <w:p>
            <w:pPr>
              <w:spacing w:after="0"/>
            </w:pPr>
            <w:r>
              <w:t>By: ____________________________________</w:t>
            </w:r>
          </w:p>
        </w:tc>
      </w:tr>
      <w:tr>
        <w:tc>
          <w:tcPr>
            <w:tcW w:type="dxa" w:w="9360"/>
            <w:tcMar>
              <w:top w:w="20" w:type="dxa"/>
              <w:start w:w="0" w:type="dxa"/>
              <w:bottom w:w="20" w:type="dxa"/>
              <w:end w:w="0" w:type="dxa"/>
            </w:tcMar>
            <w:vAlign w:val="center"/>
          </w:tcPr>
          <w:p>
            <w:pPr>
              <w:spacing w:after="0"/>
            </w:pPr>
            <w:r>
              <w:t>Name/Title: Samara Obi, General Counsel</w:t>
            </w:r>
          </w:p>
        </w:tc>
      </w:tr>
      <w:tr>
        <w:tc>
          <w:tcPr>
            <w:tcW w:type="dxa" w:w="9360"/>
            <w:tcMar>
              <w:top w:w="20" w:type="dxa"/>
              <w:start w:w="0" w:type="dxa"/>
              <w:bottom w:w="20" w:type="dxa"/>
              <w:end w:w="0" w:type="dxa"/>
            </w:tcMar>
            <w:vAlign w:val="center"/>
          </w:tcPr>
          <w:p>
            <w:pPr>
              <w:spacing w:after="0"/>
            </w:pPr>
            <w:r>
              <w:t>Date: __________________________________</w:t>
            </w:r>
          </w:p>
        </w:tc>
      </w:tr>
    </w:tbl>
    <w:p>
      <w:r>
        <w:br w:type="page"/>
      </w:r>
    </w:p>
    <w:p>
      <w:pPr>
        <w:spacing w:after="40"/>
        <w:jc w:val="center"/>
      </w:pPr>
      <w:r>
        <w:rPr>
          <w:b/>
          <w:color w:val="1F4D78"/>
          <w:sz w:val="32"/>
        </w:rPr>
        <w:t>ASHFORD &amp; CALLOWAY LLP</w:t>
      </w:r>
    </w:p>
    <w:p>
      <w:pPr>
        <w:spacing w:after="160"/>
        <w:jc w:val="center"/>
        <w:pBdr>
          <w:bottom w:val="single" w:sz="8" w:space="3" w:color="2E74B5"/>
        </w:pBdr>
      </w:pPr>
      <w:r>
        <w:rPr>
          <w:i/>
          <w:sz w:val="18"/>
        </w:rPr>
        <w:t>Counsel to Ridgewell Health Systems, Inc.</w:t>
      </w:r>
    </w:p>
    <w:p>
      <w:pPr>
        <w:spacing w:before="0" w:after="200" w:line="264" w:lineRule="auto"/>
      </w:pPr>
      <w:r>
        <w:rPr>
          <w:b w:val="0"/>
        </w:rPr>
        <w:t>May 5, 2025</w:t>
      </w:r>
    </w:p>
    <w:p>
      <w:pPr>
        <w:spacing w:before="0" w:after="0" w:line="264" w:lineRule="auto"/>
      </w:pPr>
      <w:r>
        <w:rPr>
          <w:b/>
        </w:rPr>
        <w:t>Richard Holloway, Senior Vice President</w:t>
      </w:r>
    </w:p>
    <w:p>
      <w:pPr>
        <w:spacing w:before="0" w:after="0" w:line="264" w:lineRule="auto"/>
      </w:pPr>
      <w:r>
        <w:rPr>
          <w:b w:val="0"/>
        </w:rPr>
        <w:t>Vanguard National Bank, Healthcare Lending Group</w:t>
      </w:r>
    </w:p>
    <w:p>
      <w:pPr>
        <w:spacing w:before="0" w:after="0" w:line="264" w:lineRule="auto"/>
      </w:pPr>
      <w:r>
        <w:rPr>
          <w:b w:val="0"/>
        </w:rPr>
        <w:t>225 Capital Center Boulevard, Suite 800</w:t>
      </w:r>
    </w:p>
    <w:p>
      <w:pPr>
        <w:spacing w:before="0" w:after="160" w:line="264" w:lineRule="auto"/>
      </w:pPr>
      <w:r>
        <w:rPr>
          <w:b w:val="0"/>
        </w:rPr>
        <w:t>Charlotte, NC 28202</w:t>
      </w:r>
    </w:p>
    <w:p>
      <w:pPr>
        <w:spacing w:after="160"/>
        <w:keepNext/>
      </w:pPr>
      <w:r>
        <w:rPr>
          <w:b/>
        </w:rPr>
        <w:t xml:space="preserve">Re: </w:t>
      </w:r>
      <w:r>
        <w:t>Consent under Credit Agreement dated October 5, 2022</w:t>
      </w:r>
    </w:p>
    <w:p>
      <w:pPr>
        <w:spacing w:before="0" w:after="120" w:line="264" w:lineRule="auto"/>
        <w:keepNext/>
      </w:pPr>
      <w:r>
        <w:rPr>
          <w:b w:val="0"/>
        </w:rPr>
        <w:t>Dear Mr. Holloway:</w:t>
      </w:r>
    </w:p>
    <w:p>
      <w:pPr>
        <w:spacing w:before="0" w:after="120" w:line="264" w:lineRule="auto"/>
      </w:pPr>
      <w:r>
        <w:rPr>
          <w:b w:val="0"/>
        </w:rPr>
        <w:t>We represent Ridgewell Health Systems, Inc. ("Ridgewell") in its acquisition of 100% of the outstanding capital stock of Luminos Diagnostics, Inc. ("Luminos") under the Stock Purchase Agreement dated April 14, 2025. The parties are targeting a June 30, 2025 closing.</w:t>
      </w:r>
    </w:p>
    <w:p>
      <w:pPr>
        <w:spacing w:before="0" w:after="120" w:line="264" w:lineRule="auto"/>
      </w:pPr>
      <w:r>
        <w:rPr>
          <w:b w:val="0"/>
        </w:rPr>
        <w:t>Section 7.09 of the Credit Agreement dated October 5, 2022 requires Vanguard National Bank's prior written consent to a change in ownership exceeding 35%. Ridgewell's acquisition of 100% of Luminos exceeds that threshold; an unconsented closing would create an Event of Default and acceleration risk under Section 8.01(i). Approximately $11.4 million is outstanding.</w:t>
      </w:r>
    </w:p>
    <w:p>
      <w:pPr>
        <w:spacing w:before="0" w:after="120" w:line="264" w:lineRule="auto"/>
      </w:pPr>
      <w:r>
        <w:rPr>
          <w:b w:val="0"/>
        </w:rPr>
        <w:t>We request VNB's written consent and confirmation of its preferred closing path: continuation of the existing facility on agreed terms, repayment at closing, or continuation supported by a Ridgewell parent guaranty. If continuation is approved, please also confirm that the transaction itself will not constitute a default. Luminos will coordinate payoff documentation promptly if repayment is selected.</w:t>
      </w:r>
    </w:p>
    <w:p>
      <w:pPr>
        <w:spacing w:before="0" w:after="120" w:line="264" w:lineRule="auto"/>
      </w:pPr>
      <w:r>
        <w:rPr>
          <w:b w:val="0"/>
        </w:rPr>
        <w:t>Please sign and return the acknowledgment below or provide the bank's selected path by May 16, 2025 so the closing funds flow and credit documentation can be finalized.</w:t>
      </w:r>
    </w:p>
    <w:p>
      <w:pPr>
        <w:spacing w:before="0" w:after="40" w:line="264" w:lineRule="auto"/>
      </w:pPr>
      <w:r>
        <w:rPr>
          <w:b w:val="0"/>
        </w:rPr>
        <w:t>Sincerely,</w:t>
      </w:r>
    </w:p>
    <w:p>
      <w:pPr>
        <w:spacing w:before="0" w:after="360" w:line="264" w:lineRule="auto"/>
      </w:pPr>
      <w:r>
        <w:rPr>
          <w:b/>
        </w:rPr>
        <w:t>ASHFORD &amp; CALLOWAY LLP</w:t>
      </w:r>
    </w:p>
    <w:p>
      <w:pPr>
        <w:spacing w:before="0" w:after="0" w:line="264" w:lineRule="auto"/>
      </w:pPr>
      <w:r>
        <w:rPr>
          <w:b w:val="0"/>
        </w:rPr>
        <w:t>By: /s/ Priya Nair</w:t>
      </w:r>
    </w:p>
    <w:p>
      <w:pPr>
        <w:spacing w:before="0" w:after="160" w:line="264" w:lineRule="auto"/>
      </w:pPr>
      <w:r>
        <w:rPr>
          <w:b w:val="0"/>
        </w:rPr>
        <w:t>Priya Nair, Partner</w:t>
      </w:r>
    </w:p>
    <w:tbl>
      <w:tblPr>
        <w:tblW w:type="auto" w:w="0"/>
        <w:tblLayout w:type="fixed"/>
        <w:tblLook w:firstColumn="1" w:firstRow="1" w:lastColumn="0" w:lastRow="0" w:noHBand="0" w:noVBand="1" w:val="04A0"/>
      </w:tblPr>
      <w:tblGrid>
        <w:gridCol w:w="9360"/>
      </w:tblGrid>
      <w:tr>
        <w:tc>
          <w:tcPr>
            <w:tcW w:type="dxa" w:w="9360"/>
            <w:tcMar>
              <w:top w:w="20" w:type="dxa"/>
              <w:start w:w="0" w:type="dxa"/>
              <w:bottom w:w="20" w:type="dxa"/>
              <w:end w:w="0" w:type="dxa"/>
            </w:tcMar>
            <w:vAlign w:val="center"/>
          </w:tcPr>
          <w:p>
            <w:pPr>
              <w:spacing w:after="0"/>
            </w:pPr>
            <w:r>
              <w:rPr>
                <w:b/>
              </w:rPr>
              <w:t>CONSENTED AND AGREED by VANGUARD NATIONAL BANK:</w:t>
            </w:r>
          </w:p>
        </w:tc>
      </w:tr>
      <w:tr>
        <w:tc>
          <w:tcPr>
            <w:tcW w:type="dxa" w:w="9360"/>
            <w:tcMar>
              <w:top w:w="20" w:type="dxa"/>
              <w:start w:w="0" w:type="dxa"/>
              <w:bottom w:w="20" w:type="dxa"/>
              <w:end w:w="0" w:type="dxa"/>
            </w:tcMar>
            <w:vAlign w:val="center"/>
          </w:tcPr>
          <w:p>
            <w:pPr>
              <w:spacing w:after="0"/>
            </w:pPr>
            <w:r/>
          </w:p>
        </w:tc>
      </w:tr>
      <w:tr>
        <w:tc>
          <w:tcPr>
            <w:tcW w:type="dxa" w:w="9360"/>
            <w:tcMar>
              <w:top w:w="20" w:type="dxa"/>
              <w:start w:w="0" w:type="dxa"/>
              <w:bottom w:w="20" w:type="dxa"/>
              <w:end w:w="0" w:type="dxa"/>
            </w:tcMar>
            <w:vAlign w:val="center"/>
          </w:tcPr>
          <w:p>
            <w:pPr>
              <w:spacing w:after="0"/>
            </w:pPr>
            <w:r>
              <w:t>By: ____________________________________</w:t>
            </w:r>
          </w:p>
        </w:tc>
      </w:tr>
      <w:tr>
        <w:tc>
          <w:tcPr>
            <w:tcW w:type="dxa" w:w="9360"/>
            <w:tcMar>
              <w:top w:w="20" w:type="dxa"/>
              <w:start w:w="0" w:type="dxa"/>
              <w:bottom w:w="20" w:type="dxa"/>
              <w:end w:w="0" w:type="dxa"/>
            </w:tcMar>
            <w:vAlign w:val="center"/>
          </w:tcPr>
          <w:p>
            <w:pPr>
              <w:spacing w:after="0"/>
            </w:pPr>
            <w:r>
              <w:t>Name/Title: Richard Holloway, Senior Vice President</w:t>
            </w:r>
          </w:p>
        </w:tc>
      </w:tr>
      <w:tr>
        <w:tc>
          <w:tcPr>
            <w:tcW w:type="dxa" w:w="9360"/>
            <w:tcMar>
              <w:top w:w="20" w:type="dxa"/>
              <w:start w:w="0" w:type="dxa"/>
              <w:bottom w:w="20" w:type="dxa"/>
              <w:end w:w="0" w:type="dxa"/>
            </w:tcMar>
            <w:vAlign w:val="center"/>
          </w:tcPr>
          <w:p>
            <w:pPr>
              <w:spacing w:after="0"/>
            </w:pPr>
            <w:r>
              <w:t>Date: __________________________________</w:t>
            </w:r>
          </w:p>
        </w:tc>
      </w:tr>
    </w:tbl>
    <w:p>
      <w:r>
        <w:br w:type="page"/>
      </w:r>
    </w:p>
    <w:p>
      <w:pPr>
        <w:spacing w:after="40"/>
        <w:jc w:val="center"/>
      </w:pPr>
      <w:r>
        <w:rPr>
          <w:b/>
          <w:color w:val="1F4D78"/>
          <w:sz w:val="32"/>
        </w:rPr>
        <w:t>ASHFORD &amp; CALLOWAY LLP</w:t>
      </w:r>
    </w:p>
    <w:p>
      <w:pPr>
        <w:spacing w:after="160"/>
        <w:jc w:val="center"/>
        <w:pBdr>
          <w:bottom w:val="single" w:sz="8" w:space="3" w:color="2E74B5"/>
        </w:pBdr>
      </w:pPr>
      <w:r>
        <w:rPr>
          <w:i/>
          <w:sz w:val="18"/>
        </w:rPr>
        <w:t>Counsel to Ridgewell Health Systems, Inc.</w:t>
      </w:r>
    </w:p>
    <w:p>
      <w:pPr>
        <w:spacing w:before="0" w:after="200" w:line="264" w:lineRule="auto"/>
      </w:pPr>
      <w:r>
        <w:rPr>
          <w:b w:val="0"/>
        </w:rPr>
        <w:t>May 5, 2025</w:t>
      </w:r>
    </w:p>
    <w:p>
      <w:pPr>
        <w:spacing w:before="0" w:after="0" w:line="264" w:lineRule="auto"/>
      </w:pPr>
      <w:r>
        <w:rPr>
          <w:b/>
        </w:rPr>
        <w:t>Dr. Friedrich Braun, Head of Licensing</w:t>
      </w:r>
    </w:p>
    <w:p>
      <w:pPr>
        <w:spacing w:before="0" w:after="0" w:line="264" w:lineRule="auto"/>
      </w:pPr>
      <w:r>
        <w:rPr>
          <w:b w:val="0"/>
        </w:rPr>
        <w:t>Kessler-Braun GmbH</w:t>
      </w:r>
    </w:p>
    <w:p>
      <w:pPr>
        <w:spacing w:before="0" w:after="0" w:line="264" w:lineRule="auto"/>
      </w:pPr>
      <w:r>
        <w:rPr>
          <w:b w:val="0"/>
        </w:rPr>
        <w:t>Industriestrasse 42</w:t>
      </w:r>
    </w:p>
    <w:p>
      <w:pPr>
        <w:spacing w:before="0" w:after="160" w:line="264" w:lineRule="auto"/>
      </w:pPr>
      <w:r>
        <w:rPr>
          <w:b w:val="0"/>
        </w:rPr>
        <w:t>80939 Munich, Germany</w:t>
      </w:r>
    </w:p>
    <w:p>
      <w:pPr>
        <w:spacing w:after="160"/>
        <w:keepNext/>
      </w:pPr>
      <w:r>
        <w:rPr>
          <w:b/>
        </w:rPr>
        <w:t xml:space="preserve">Re: </w:t>
      </w:r>
      <w:r>
        <w:t>Consent under Patent License Agreement dated November 15, 2020</w:t>
      </w:r>
    </w:p>
    <w:p>
      <w:pPr>
        <w:spacing w:before="0" w:after="120" w:line="264" w:lineRule="auto"/>
        <w:keepNext/>
      </w:pPr>
      <w:r>
        <w:rPr>
          <w:b w:val="0"/>
        </w:rPr>
        <w:t>Dear Dr. Braun:</w:t>
      </w:r>
    </w:p>
    <w:p>
      <w:pPr>
        <w:spacing w:before="0" w:after="120" w:line="264" w:lineRule="auto"/>
      </w:pPr>
      <w:r>
        <w:rPr>
          <w:b w:val="0"/>
        </w:rPr>
        <w:t>We represent Ridgewell Health Systems, Inc. ("Ridgewell") in its acquisition of 100% of the outstanding capital stock of Luminos Diagnostics, Inc. ("Luminos") under the Stock Purchase Agreement dated April 14, 2025. The parties are targeting a June 30, 2025 closing.</w:t>
      </w:r>
    </w:p>
    <w:p>
      <w:pPr>
        <w:spacing w:before="0" w:after="120" w:line="264" w:lineRule="auto"/>
      </w:pPr>
      <w:r>
        <w:rPr>
          <w:b w:val="0"/>
        </w:rPr>
        <w:t>Sections 13.4 and 13.5 of the Patent License Agreement dated November 15, 2020 make the license personal to Luminos, deem a change of control to be an assignment, and require Kessler-Braun GmbH's prior written consent. The licensed rights include European Patent EP 3,147,522.</w:t>
      </w:r>
    </w:p>
    <w:p>
      <w:pPr>
        <w:spacing w:before="0" w:after="120" w:line="264" w:lineRule="auto"/>
      </w:pPr>
      <w:r>
        <w:rPr>
          <w:b w:val="0"/>
        </w:rPr>
        <w:t>Ridgewell intends for Luminos to continue complying with the agreement, including its royalty, reporting, confidentiality, and field-of-use obligations. We recognize that the consent process may prompt a discussion of royalty terms; this request does not propose or accept any royalty renegotiation. On behalf of Luminos, we request Kessler-Braun's written consent to the transaction and confirmation that the license will remain in full force after closing. Except for that consent and confirmation, the agreement will remain unchanged.</w:t>
      </w:r>
    </w:p>
    <w:p>
      <w:pPr>
        <w:spacing w:before="0" w:after="120" w:line="264" w:lineRule="auto"/>
      </w:pPr>
      <w:r>
        <w:rPr>
          <w:b w:val="0"/>
        </w:rPr>
        <w:t>Please sign and return the acknowledgment below by May 16, 2025. We are available promptly to address reasonable implementation questions.</w:t>
      </w:r>
    </w:p>
    <w:p>
      <w:pPr>
        <w:spacing w:before="0" w:after="40" w:line="264" w:lineRule="auto"/>
      </w:pPr>
      <w:r>
        <w:rPr>
          <w:b w:val="0"/>
        </w:rPr>
        <w:t>Sincerely,</w:t>
      </w:r>
    </w:p>
    <w:p>
      <w:pPr>
        <w:spacing w:before="0" w:after="360" w:line="264" w:lineRule="auto"/>
      </w:pPr>
      <w:r>
        <w:rPr>
          <w:b/>
        </w:rPr>
        <w:t>ASHFORD &amp; CALLOWAY LLP</w:t>
      </w:r>
    </w:p>
    <w:p>
      <w:pPr>
        <w:spacing w:before="0" w:after="0" w:line="264" w:lineRule="auto"/>
      </w:pPr>
      <w:r>
        <w:rPr>
          <w:b w:val="0"/>
        </w:rPr>
        <w:t>By: /s/ Priya Nair</w:t>
      </w:r>
    </w:p>
    <w:p>
      <w:pPr>
        <w:spacing w:before="0" w:after="160" w:line="264" w:lineRule="auto"/>
      </w:pPr>
      <w:r>
        <w:rPr>
          <w:b w:val="0"/>
        </w:rPr>
        <w:t>Priya Nair, Partner</w:t>
      </w:r>
    </w:p>
    <w:tbl>
      <w:tblPr>
        <w:tblW w:type="auto" w:w="0"/>
        <w:tblLayout w:type="fixed"/>
        <w:tblLook w:firstColumn="1" w:firstRow="1" w:lastColumn="0" w:lastRow="0" w:noHBand="0" w:noVBand="1" w:val="04A0"/>
      </w:tblPr>
      <w:tblGrid>
        <w:gridCol w:w="9360"/>
      </w:tblGrid>
      <w:tr>
        <w:tc>
          <w:tcPr>
            <w:tcW w:type="dxa" w:w="9360"/>
            <w:tcMar>
              <w:top w:w="20" w:type="dxa"/>
              <w:start w:w="0" w:type="dxa"/>
              <w:bottom w:w="20" w:type="dxa"/>
              <w:end w:w="0" w:type="dxa"/>
            </w:tcMar>
            <w:vAlign w:val="center"/>
          </w:tcPr>
          <w:p>
            <w:pPr>
              <w:spacing w:after="0"/>
            </w:pPr>
            <w:r>
              <w:rPr>
                <w:b/>
              </w:rPr>
              <w:t>CONSENTED AND AGREED by KESSLER-BRAUN GMBH:</w:t>
            </w:r>
          </w:p>
        </w:tc>
      </w:tr>
      <w:tr>
        <w:tc>
          <w:tcPr>
            <w:tcW w:type="dxa" w:w="9360"/>
            <w:tcMar>
              <w:top w:w="20" w:type="dxa"/>
              <w:start w:w="0" w:type="dxa"/>
              <w:bottom w:w="20" w:type="dxa"/>
              <w:end w:w="0" w:type="dxa"/>
            </w:tcMar>
            <w:vAlign w:val="center"/>
          </w:tcPr>
          <w:p>
            <w:pPr>
              <w:spacing w:after="0"/>
            </w:pPr>
            <w:r/>
          </w:p>
        </w:tc>
      </w:tr>
      <w:tr>
        <w:tc>
          <w:tcPr>
            <w:tcW w:type="dxa" w:w="9360"/>
            <w:tcMar>
              <w:top w:w="20" w:type="dxa"/>
              <w:start w:w="0" w:type="dxa"/>
              <w:bottom w:w="20" w:type="dxa"/>
              <w:end w:w="0" w:type="dxa"/>
            </w:tcMar>
            <w:vAlign w:val="center"/>
          </w:tcPr>
          <w:p>
            <w:pPr>
              <w:spacing w:after="0"/>
            </w:pPr>
            <w:r>
              <w:t>By: ____________________________________</w:t>
            </w:r>
          </w:p>
        </w:tc>
      </w:tr>
      <w:tr>
        <w:tc>
          <w:tcPr>
            <w:tcW w:type="dxa" w:w="9360"/>
            <w:tcMar>
              <w:top w:w="20" w:type="dxa"/>
              <w:start w:w="0" w:type="dxa"/>
              <w:bottom w:w="20" w:type="dxa"/>
              <w:end w:w="0" w:type="dxa"/>
            </w:tcMar>
            <w:vAlign w:val="center"/>
          </w:tcPr>
          <w:p>
            <w:pPr>
              <w:spacing w:after="0"/>
            </w:pPr>
            <w:r>
              <w:t>Name/Title: Dr. Friedrich Braun, Head of Licensing</w:t>
            </w:r>
          </w:p>
        </w:tc>
      </w:tr>
      <w:tr>
        <w:tc>
          <w:tcPr>
            <w:tcW w:type="dxa" w:w="9360"/>
            <w:tcMar>
              <w:top w:w="20" w:type="dxa"/>
              <w:start w:w="0" w:type="dxa"/>
              <w:bottom w:w="20" w:type="dxa"/>
              <w:end w:w="0" w:type="dxa"/>
            </w:tcMar>
            <w:vAlign w:val="center"/>
          </w:tcPr>
          <w:p>
            <w:pPr>
              <w:spacing w:after="0"/>
            </w:pPr>
            <w:r>
              <w:t>Date: __________________________________</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Ridgewell / Luminos - Draft Consent Solicitation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Solicitation Letters - Ridgewell / Luminos</dc:title>
  <dc:subject>Five Required Consents under SPA Schedule 6.4</dc:subject>
  <dc:creator>Ashford &amp; Calloway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