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COVERAGE OPINION</w:t>
      </w:r>
    </w:p>
    <w:p>
      <w:pPr>
        <w:pStyle w:val="Subtitle"/>
      </w:pPr>
      <w:r>
        <w:t>CGL Analysis — Toxic-Tort Claims Following Model 7400 Valve Failure</w:t>
      </w:r>
    </w:p>
    <w:p>
      <w:pPr>
        <w:spacing w:before="0" w:after="40" w:line="240" w:lineRule="auto"/>
      </w:pPr>
      <w:r>
        <w:rPr>
          <w:rFonts w:ascii="Calibri" w:hAnsi="Calibri"/>
          <w:b/>
          <w:color w:val="000000"/>
          <w:sz w:val="22"/>
        </w:rPr>
        <w:t xml:space="preserve">To: </w:t>
      </w:r>
      <w:r>
        <w:rPr>
          <w:rFonts w:ascii="Calibri" w:hAnsi="Calibri"/>
          <w:color w:val="000000"/>
          <w:sz w:val="22"/>
        </w:rPr>
        <w:t>Claims Leadership and General Counsel, Pinnacle Casualty &amp; Surety Company</w:t>
      </w:r>
    </w:p>
    <w:p>
      <w:pPr>
        <w:spacing w:before="0" w:after="40" w:line="240" w:lineRule="auto"/>
      </w:pPr>
      <w:r>
        <w:rPr>
          <w:rFonts w:ascii="Calibri" w:hAnsi="Calibri"/>
          <w:b/>
          <w:color w:val="000000"/>
          <w:sz w:val="22"/>
        </w:rPr>
        <w:t xml:space="preserve">From: </w:t>
      </w:r>
      <w:r>
        <w:rPr>
          <w:rFonts w:ascii="Calibri" w:hAnsi="Calibri"/>
          <w:color w:val="000000"/>
          <w:sz w:val="22"/>
        </w:rPr>
        <w:t>Coverage Counsel</w:t>
      </w:r>
    </w:p>
    <w:p>
      <w:pPr>
        <w:spacing w:before="0" w:after="40" w:line="240" w:lineRule="auto"/>
      </w:pPr>
      <w:r>
        <w:rPr>
          <w:rFonts w:ascii="Calibri" w:hAnsi="Calibri"/>
          <w:b/>
          <w:color w:val="000000"/>
          <w:sz w:val="22"/>
        </w:rPr>
        <w:t xml:space="preserve">Date: </w:t>
      </w:r>
      <w:r>
        <w:rPr>
          <w:rFonts w:ascii="Calibri" w:hAnsi="Calibri"/>
          <w:color w:val="000000"/>
          <w:sz w:val="22"/>
        </w:rPr>
        <w:t>June 10, 2024</w:t>
      </w:r>
    </w:p>
    <w:p>
      <w:pPr>
        <w:spacing w:before="0" w:after="40" w:line="240" w:lineRule="auto"/>
      </w:pPr>
      <w:r>
        <w:rPr>
          <w:rFonts w:ascii="Calibri" w:hAnsi="Calibri"/>
          <w:b/>
          <w:color w:val="000000"/>
          <w:sz w:val="22"/>
        </w:rPr>
        <w:t xml:space="preserve">Named Insured: </w:t>
      </w:r>
      <w:r>
        <w:rPr>
          <w:rFonts w:ascii="Calibri" w:hAnsi="Calibri"/>
          <w:color w:val="000000"/>
          <w:sz w:val="22"/>
        </w:rPr>
        <w:t>Ridgeline Manufacturing, Inc.</w:t>
      </w:r>
    </w:p>
    <w:p>
      <w:pPr>
        <w:spacing w:before="0" w:after="40" w:line="240" w:lineRule="auto"/>
      </w:pPr>
      <w:r>
        <w:rPr>
          <w:rFonts w:ascii="Calibri" w:hAnsi="Calibri"/>
          <w:b/>
          <w:color w:val="000000"/>
          <w:sz w:val="22"/>
        </w:rPr>
        <w:t xml:space="preserve">Policy: </w:t>
      </w:r>
      <w:r>
        <w:rPr>
          <w:rFonts w:ascii="Calibri" w:hAnsi="Calibri"/>
          <w:color w:val="000000"/>
          <w:sz w:val="22"/>
        </w:rPr>
        <w:t>PCS-GL-2023-044817 (October 1, 2023 to October 1, 2024)</w:t>
      </w:r>
    </w:p>
    <w:p>
      <w:pPr>
        <w:spacing w:before="0" w:after="40" w:line="240" w:lineRule="auto"/>
      </w:pPr>
      <w:r>
        <w:rPr>
          <w:rFonts w:ascii="Calibri" w:hAnsi="Calibri"/>
          <w:b/>
          <w:color w:val="000000"/>
          <w:sz w:val="22"/>
        </w:rPr>
        <w:t xml:space="preserve">Underlying Action: </w:t>
      </w:r>
      <w:r>
        <w:rPr>
          <w:rFonts w:ascii="Calibri" w:hAnsi="Calibri"/>
          <w:color w:val="000000"/>
          <w:sz w:val="22"/>
        </w:rPr>
        <w:t>Dobson, et al. v. Ridgeline Manufacturing, Inc., et al., Civil Action No. 24-C-1042</w:t>
      </w:r>
    </w:p>
    <w:p>
      <w:pPr>
        <w:spacing w:before="0" w:after="40" w:line="240" w:lineRule="auto"/>
      </w:pPr>
      <w:r>
        <w:rPr>
          <w:rFonts w:ascii="Calibri" w:hAnsi="Calibri"/>
          <w:b/>
          <w:color w:val="000000"/>
          <w:sz w:val="22"/>
        </w:rPr>
        <w:t xml:space="preserve">Court: </w:t>
      </w:r>
      <w:r>
        <w:rPr>
          <w:rFonts w:ascii="Calibri" w:hAnsi="Calibri"/>
          <w:color w:val="000000"/>
          <w:sz w:val="22"/>
        </w:rPr>
        <w:t>Circuit Court of Kanawha County, West Virginia</w:t>
      </w:r>
    </w:p>
    <w:p>
      <w:pPr>
        <w:spacing w:before="160" w:after="200"/>
        <w:pBdr>
          <w:bottom w:val="single" w:sz="12" w:space="1" w:color="1F4D78"/>
        </w:pBdr>
      </w:pPr>
    </w:p>
    <w:p>
      <w:pPr>
        <w:pStyle w:val="Heading1"/>
      </w:pPr>
      <w:r>
        <w:t>Executive Coverage Opinion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EAF2F8"/>
          </w:tcPr>
          <w:p>
            <w:pPr>
              <w:spacing w:before="0" w:after="40" w:line="252" w:lineRule="auto"/>
              <w:jc w:val="left"/>
            </w:pPr>
            <w:r/>
            <w:r>
              <w:rPr>
                <w:rFonts w:ascii="Calibri" w:hAnsi="Calibri"/>
                <w:b w:val="0"/>
                <w:color w:val="000000"/>
                <w:sz w:val="20"/>
              </w:rPr>
            </w:r>
            <w:r>
              <w:rPr>
                <w:rFonts w:ascii="Calibri" w:hAnsi="Calibri"/>
                <w:b/>
                <w:color w:val="0B2545"/>
                <w:sz w:val="20"/>
              </w:rPr>
              <w:t xml:space="preserve">Recommendation. </w:t>
            </w:r>
            <w:r>
              <w:rPr>
                <w:rFonts w:ascii="Calibri" w:hAnsi="Calibri"/>
                <w:color w:val="000000"/>
                <w:sz w:val="20"/>
              </w:rPr>
              <w:t>Pinnacle should accept Ridgeline's defense immediately under a comprehensive reservation of rights. The complaint alleges at least potentially covered bodily injury and property damage caused by an occurrence during the policy period. The duty to defend is broader than the duty to indemnify. Indemnity remains unresolved and should be evaluated against the pollution exclusion, expected-or-intended language, known-loss principles, punitive-damages endorsement, product-recall exclusion, contractual-liability provisions, notice condition, and the number of occurrences.</w:t>
            </w:r>
          </w:p>
        </w:tc>
      </w:tr>
    </w:tbl>
    <w:p>
      <w:pPr>
        <w:spacing w:after="0"/>
      </w:pPr>
    </w:p>
    <w:p>
      <w:r>
        <w:rPr>
          <w:rFonts w:ascii="Calibri" w:hAnsi="Calibri"/>
          <w:b/>
          <w:color w:val="0B2545"/>
          <w:sz w:val="22"/>
        </w:rPr>
        <w:t xml:space="preserve">Limits posture. </w:t>
      </w:r>
      <w:r>
        <w:rPr>
          <w:rFonts w:ascii="Calibri" w:hAnsi="Calibri"/>
          <w:color w:val="000000"/>
          <w:sz w:val="22"/>
        </w:rPr>
        <w:t>The claim falls within the products-completed operations hazard. The $5,000,000 Products-Completed Operations Aggregate—not the $10,000,000 General Aggregate—is therefore the controlling aggregate and caps covered products-liability damages regardless of whether the cascade is one occurrence or several. The Each Occurrence Limit is $5,000,000. The $100,000 per-occurrence deductible applies to damages only, not defense costs, and the policy states that it erodes the applicable limit. Defense costs are supplementary payments outside the limits.</w:t>
      </w:r>
    </w:p>
    <w:p>
      <w:r>
        <w:rPr>
          <w:rFonts w:ascii="Calibri" w:hAnsi="Calibri"/>
          <w:b/>
          <w:color w:val="0B2545"/>
          <w:sz w:val="22"/>
        </w:rPr>
        <w:t xml:space="preserve">Exposure posture. </w:t>
      </w:r>
      <w:r>
        <w:rPr>
          <w:rFonts w:ascii="Calibri" w:hAnsi="Calibri"/>
          <w:color w:val="000000"/>
          <w:sz w:val="22"/>
        </w:rPr>
        <w:t>The underlying pleadings allege approximately $24.5 million in compensatory exposure, exclusive of punitive damages: approximately $18.5 million for 23 worker plaintiffs and a $6.0 million Ellerby cross-claim comprising approximately $3.2 million in remediation costs and $2.8 million in lost profits. The pleaded exposure materially exceeds the available products-completed operations aggregate.</w:t>
      </w:r>
    </w:p>
    <w:tbl>
      <w:tblPr>
        <w:tblStyle w:val="TableGrid"/>
        <w:tblW w:type="dxa" w:w="9360"/>
        <w:jc w:val="left"/>
        <w:tblLayout w:type="fixed"/>
        <w:tblLook w:firstColumn="1" w:firstRow="1" w:lastColumn="0" w:lastRow="0" w:noHBand="0" w:noVBand="1" w:val="04A0"/>
        <w:tblInd w:w="120" w:type="dxa"/>
      </w:tblPr>
      <w:tblGrid>
        <w:gridCol w:w="1800"/>
        <w:gridCol w:w="3480"/>
        <w:gridCol w:w="3000"/>
        <w:gridCol w:w="1080"/>
      </w:tblGrid>
      <w:tr>
        <w:trPr>
          <w:tblHeader w:val="true"/>
          <w:cantSplit w:val="true"/>
        </w:trPr>
        <w:tc>
          <w:tcPr>
            <w:tcW w:type="dxa" w:w="1800"/>
            <w:shd w:fill="F2F4F7"/>
            <w:tcMar>
              <w:top w:w="80" w:type="dxa"/>
              <w:bottom w:w="80" w:type="dxa"/>
              <w:start w:w="120" w:type="dxa"/>
              <w:end w:w="120" w:type="dxa"/>
            </w:tcMar>
            <w:vAlign w:val="center"/>
          </w:tcPr>
          <w:p>
            <w:pPr>
              <w:spacing w:before="0" w:after="40" w:line="252" w:lineRule="auto"/>
              <w:jc w:val="center"/>
            </w:pPr>
            <w:r/>
            <w:r>
              <w:rPr>
                <w:rFonts w:ascii="Calibri" w:hAnsi="Calibri"/>
                <w:b/>
                <w:color w:val="0B2545"/>
                <w:sz w:val="17"/>
              </w:rPr>
              <w:t>Issue</w:t>
            </w:r>
          </w:p>
        </w:tc>
        <w:tc>
          <w:tcPr>
            <w:tcW w:type="dxa" w:w="3480"/>
            <w:shd w:fill="F2F4F7"/>
            <w:tcMar>
              <w:top w:w="80" w:type="dxa"/>
              <w:bottom w:w="80" w:type="dxa"/>
              <w:start w:w="120" w:type="dxa"/>
              <w:end w:w="120" w:type="dxa"/>
            </w:tcMar>
            <w:vAlign w:val="center"/>
          </w:tcPr>
          <w:p>
            <w:pPr>
              <w:spacing w:before="0" w:after="40" w:line="252" w:lineRule="auto"/>
              <w:jc w:val="center"/>
            </w:pPr>
            <w:r/>
            <w:r>
              <w:rPr>
                <w:rFonts w:ascii="Calibri" w:hAnsi="Calibri"/>
                <w:b/>
                <w:color w:val="0B2545"/>
                <w:sz w:val="17"/>
              </w:rPr>
              <w:t>Provisional position</w:t>
            </w:r>
          </w:p>
        </w:tc>
        <w:tc>
          <w:tcPr>
            <w:tcW w:type="dxa" w:w="3000"/>
            <w:shd w:fill="F2F4F7"/>
            <w:tcMar>
              <w:top w:w="80" w:type="dxa"/>
              <w:bottom w:w="80" w:type="dxa"/>
              <w:start w:w="120" w:type="dxa"/>
              <w:end w:w="120" w:type="dxa"/>
            </w:tcMar>
            <w:vAlign w:val="center"/>
          </w:tcPr>
          <w:p>
            <w:pPr>
              <w:spacing w:before="0" w:after="40" w:line="252" w:lineRule="auto"/>
              <w:jc w:val="center"/>
            </w:pPr>
            <w:r/>
            <w:r>
              <w:rPr>
                <w:rFonts w:ascii="Calibri" w:hAnsi="Calibri"/>
                <w:b/>
                <w:color w:val="0B2545"/>
                <w:sz w:val="17"/>
              </w:rPr>
              <w:t>Primary action</w:t>
            </w:r>
          </w:p>
        </w:tc>
        <w:tc>
          <w:tcPr>
            <w:tcW w:type="dxa" w:w="1080"/>
            <w:shd w:fill="F2F4F7"/>
            <w:tcMar>
              <w:top w:w="80" w:type="dxa"/>
              <w:bottom w:w="80" w:type="dxa"/>
              <w:start w:w="120" w:type="dxa"/>
              <w:end w:w="120" w:type="dxa"/>
            </w:tcMar>
            <w:vAlign w:val="center"/>
          </w:tcPr>
          <w:p>
            <w:pPr>
              <w:spacing w:before="0" w:after="40" w:line="252" w:lineRule="auto"/>
              <w:jc w:val="center"/>
            </w:pPr>
            <w:r/>
            <w:r>
              <w:rPr>
                <w:rFonts w:ascii="Calibri" w:hAnsi="Calibri"/>
                <w:b/>
                <w:color w:val="0B2545"/>
                <w:sz w:val="17"/>
              </w:rPr>
              <w:t>Confidence</w:t>
            </w:r>
          </w:p>
        </w:tc>
      </w:tr>
      <w:tr>
        <w:trPr>
          <w:cantSplit w:val="true"/>
        </w:trPr>
        <w:tc>
          <w:tcPr>
            <w:tcW w:type="dxa" w:w="1800"/>
            <w:tcMar>
              <w:top w:w="80" w:type="dxa"/>
              <w:bottom w:w="80" w:type="dxa"/>
              <w:start w:w="120" w:type="dxa"/>
              <w:end w:w="120" w:type="dxa"/>
            </w:tcMar>
            <w:vAlign w:val="center"/>
          </w:tcPr>
          <w:p>
            <w:pPr>
              <w:spacing w:before="0" w:after="40" w:line="252" w:lineRule="auto"/>
              <w:jc w:val="left"/>
            </w:pPr>
            <w:r/>
            <w:r>
              <w:rPr>
                <w:rFonts w:ascii="Calibri" w:hAnsi="Calibri"/>
                <w:b/>
                <w:color w:val="0B2545"/>
                <w:sz w:val="17"/>
              </w:rPr>
              <w:t>Duty to defend</w:t>
            </w:r>
          </w:p>
        </w:tc>
        <w:tc>
          <w:tcPr>
            <w:tcW w:type="dxa" w:w="34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Triggered; at least some allegations are reasonably susceptible of coverage.</w:t>
            </w:r>
          </w:p>
        </w:tc>
        <w:tc>
          <w:tcPr>
            <w:tcW w:type="dxa" w:w="300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Appoint qualified West Virginia defense counsel under reservation.</w:t>
            </w:r>
          </w:p>
        </w:tc>
        <w:tc>
          <w:tcPr>
            <w:tcW w:type="dxa" w:w="1080"/>
            <w:tcMar>
              <w:top w:w="80" w:type="dxa"/>
              <w:bottom w:w="80" w:type="dxa"/>
              <w:start w:w="120" w:type="dxa"/>
              <w:end w:w="120" w:type="dxa"/>
            </w:tcMar>
            <w:vAlign w:val="center"/>
          </w:tcPr>
          <w:p>
            <w:pPr>
              <w:spacing w:before="0" w:after="40" w:line="252" w:lineRule="auto"/>
              <w:jc w:val="center"/>
            </w:pPr>
            <w:r/>
            <w:r>
              <w:rPr>
                <w:rFonts w:ascii="Calibri" w:hAnsi="Calibri"/>
                <w:b/>
                <w:color w:val="1F5D42"/>
                <w:sz w:val="17"/>
              </w:rPr>
              <w:t>High</w:t>
            </w:r>
          </w:p>
        </w:tc>
      </w:tr>
      <w:tr>
        <w:trPr>
          <w:cantSplit w:val="true"/>
        </w:trPr>
        <w:tc>
          <w:tcPr>
            <w:tcW w:type="dxa" w:w="1800"/>
            <w:tcMar>
              <w:top w:w="80" w:type="dxa"/>
              <w:bottom w:w="80" w:type="dxa"/>
              <w:start w:w="120" w:type="dxa"/>
              <w:end w:w="120" w:type="dxa"/>
            </w:tcMar>
            <w:vAlign w:val="center"/>
          </w:tcPr>
          <w:p>
            <w:pPr>
              <w:spacing w:before="0" w:after="40" w:line="252" w:lineRule="auto"/>
              <w:jc w:val="left"/>
            </w:pPr>
            <w:r/>
            <w:r>
              <w:rPr>
                <w:rFonts w:ascii="Calibri" w:hAnsi="Calibri"/>
                <w:b/>
                <w:color w:val="0B2545"/>
                <w:sz w:val="17"/>
              </w:rPr>
              <w:t>Pollution</w:t>
            </w:r>
          </w:p>
        </w:tc>
        <w:tc>
          <w:tcPr>
            <w:tcW w:type="dxa" w:w="34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Serious reservation; total exclusion text is broad, but industrial product-failure context creates construction risk.</w:t>
            </w:r>
          </w:p>
        </w:tc>
        <w:tc>
          <w:tcPr>
            <w:tcW w:type="dxa" w:w="300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Reserve CG 21 49 and develop release/remediation facts.</w:t>
            </w:r>
          </w:p>
        </w:tc>
        <w:tc>
          <w:tcPr>
            <w:tcW w:type="dxa" w:w="1080"/>
            <w:tcMar>
              <w:top w:w="80" w:type="dxa"/>
              <w:bottom w:w="80" w:type="dxa"/>
              <w:start w:w="120" w:type="dxa"/>
              <w:end w:w="120" w:type="dxa"/>
            </w:tcMar>
            <w:vAlign w:val="center"/>
          </w:tcPr>
          <w:p>
            <w:pPr>
              <w:spacing w:before="0" w:after="40" w:line="252" w:lineRule="auto"/>
              <w:jc w:val="center"/>
            </w:pPr>
            <w:r/>
            <w:r>
              <w:rPr>
                <w:rFonts w:ascii="Calibri" w:hAnsi="Calibri"/>
                <w:b/>
                <w:color w:val="7A5A00"/>
                <w:sz w:val="17"/>
              </w:rPr>
              <w:t>Moderate</w:t>
            </w:r>
          </w:p>
        </w:tc>
      </w:tr>
      <w:tr>
        <w:trPr>
          <w:cantSplit w:val="true"/>
        </w:trPr>
        <w:tc>
          <w:tcPr>
            <w:tcW w:type="dxa" w:w="1800"/>
            <w:tcMar>
              <w:top w:w="80" w:type="dxa"/>
              <w:bottom w:w="80" w:type="dxa"/>
              <w:start w:w="120" w:type="dxa"/>
              <w:end w:w="120" w:type="dxa"/>
            </w:tcMar>
            <w:vAlign w:val="center"/>
          </w:tcPr>
          <w:p>
            <w:pPr>
              <w:spacing w:before="0" w:after="40" w:line="252" w:lineRule="auto"/>
              <w:jc w:val="left"/>
            </w:pPr>
            <w:r/>
            <w:r>
              <w:rPr>
                <w:rFonts w:ascii="Calibri" w:hAnsi="Calibri"/>
                <w:b/>
                <w:color w:val="0B2545"/>
                <w:sz w:val="17"/>
              </w:rPr>
              <w:t>Expected / intended</w:t>
            </w:r>
          </w:p>
        </w:tc>
        <w:tc>
          <w:tcPr>
            <w:tcW w:type="dxa" w:w="34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Foreseeability evidence is not the same as subjective expectation or intent.</w:t>
            </w:r>
          </w:p>
        </w:tc>
        <w:tc>
          <w:tcPr>
            <w:tcW w:type="dxa" w:w="300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Reserve; investigate decision-makers' actual knowledge.</w:t>
            </w:r>
          </w:p>
        </w:tc>
        <w:tc>
          <w:tcPr>
            <w:tcW w:type="dxa" w:w="1080"/>
            <w:tcMar>
              <w:top w:w="80" w:type="dxa"/>
              <w:bottom w:w="80" w:type="dxa"/>
              <w:start w:w="120" w:type="dxa"/>
              <w:end w:w="120" w:type="dxa"/>
            </w:tcMar>
            <w:vAlign w:val="center"/>
          </w:tcPr>
          <w:p>
            <w:pPr>
              <w:spacing w:before="0" w:after="40" w:line="252" w:lineRule="auto"/>
              <w:jc w:val="center"/>
            </w:pPr>
            <w:r/>
            <w:r>
              <w:rPr>
                <w:rFonts w:ascii="Calibri" w:hAnsi="Calibri"/>
                <w:b/>
                <w:color w:val="7A5A00"/>
                <w:sz w:val="17"/>
              </w:rPr>
              <w:t>Moderate</w:t>
            </w:r>
          </w:p>
        </w:tc>
      </w:tr>
      <w:tr>
        <w:trPr>
          <w:cantSplit w:val="true"/>
        </w:trPr>
        <w:tc>
          <w:tcPr>
            <w:tcW w:type="dxa" w:w="1800"/>
            <w:tcMar>
              <w:top w:w="80" w:type="dxa"/>
              <w:bottom w:w="80" w:type="dxa"/>
              <w:start w:w="120" w:type="dxa"/>
              <w:end w:w="120" w:type="dxa"/>
            </w:tcMar>
            <w:vAlign w:val="center"/>
          </w:tcPr>
          <w:p>
            <w:pPr>
              <w:spacing w:before="0" w:after="40" w:line="252" w:lineRule="auto"/>
              <w:jc w:val="left"/>
            </w:pPr>
            <w:r/>
            <w:r>
              <w:rPr>
                <w:rFonts w:ascii="Calibri" w:hAnsi="Calibri"/>
                <w:b/>
                <w:color w:val="0B2545"/>
                <w:sz w:val="17"/>
              </w:rPr>
              <w:t>Known loss</w:t>
            </w:r>
          </w:p>
        </w:tc>
        <w:tc>
          <w:tcPr>
            <w:tcW w:type="dxa" w:w="34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Prior signals do not establish that this March 2024 loss was known or in progress at inception.</w:t>
            </w:r>
          </w:p>
        </w:tc>
        <w:tc>
          <w:tcPr>
            <w:tcW w:type="dxa" w:w="300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Reserve and collect underwriting/engineering files.</w:t>
            </w:r>
          </w:p>
        </w:tc>
        <w:tc>
          <w:tcPr>
            <w:tcW w:type="dxa" w:w="1080"/>
            <w:tcMar>
              <w:top w:w="80" w:type="dxa"/>
              <w:bottom w:w="80" w:type="dxa"/>
              <w:start w:w="120" w:type="dxa"/>
              <w:end w:w="120" w:type="dxa"/>
            </w:tcMar>
            <w:vAlign w:val="center"/>
          </w:tcPr>
          <w:p>
            <w:pPr>
              <w:spacing w:before="0" w:after="40" w:line="252" w:lineRule="auto"/>
              <w:jc w:val="center"/>
            </w:pPr>
            <w:r/>
            <w:r>
              <w:rPr>
                <w:rFonts w:ascii="Calibri" w:hAnsi="Calibri"/>
                <w:b/>
                <w:color w:val="7A5A00"/>
                <w:sz w:val="17"/>
              </w:rPr>
              <w:t>Moderate</w:t>
            </w:r>
          </w:p>
        </w:tc>
      </w:tr>
      <w:tr>
        <w:trPr>
          <w:cantSplit w:val="true"/>
        </w:trPr>
        <w:tc>
          <w:tcPr>
            <w:tcW w:type="dxa" w:w="1800"/>
            <w:tcMar>
              <w:top w:w="80" w:type="dxa"/>
              <w:bottom w:w="80" w:type="dxa"/>
              <w:start w:w="120" w:type="dxa"/>
              <w:end w:w="120" w:type="dxa"/>
            </w:tcMar>
            <w:vAlign w:val="center"/>
          </w:tcPr>
          <w:p>
            <w:pPr>
              <w:spacing w:before="0" w:after="40" w:line="252" w:lineRule="auto"/>
              <w:jc w:val="left"/>
            </w:pPr>
            <w:r/>
            <w:r>
              <w:rPr>
                <w:rFonts w:ascii="Calibri" w:hAnsi="Calibri"/>
                <w:b/>
                <w:color w:val="0B2545"/>
                <w:sz w:val="17"/>
              </w:rPr>
              <w:t>Occurrences</w:t>
            </w:r>
          </w:p>
        </w:tc>
        <w:tc>
          <w:tcPr>
            <w:tcW w:type="dxa" w:w="34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One cascade is the better present view; three-valve theory remains arguable.</w:t>
            </w:r>
          </w:p>
        </w:tc>
        <w:tc>
          <w:tcPr>
            <w:tcW w:type="dxa" w:w="300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Reserve one-versus-multiple and protect deductible position.</w:t>
            </w:r>
          </w:p>
        </w:tc>
        <w:tc>
          <w:tcPr>
            <w:tcW w:type="dxa" w:w="1080"/>
            <w:tcMar>
              <w:top w:w="80" w:type="dxa"/>
              <w:bottom w:w="80" w:type="dxa"/>
              <w:start w:w="120" w:type="dxa"/>
              <w:end w:w="120" w:type="dxa"/>
            </w:tcMar>
            <w:vAlign w:val="center"/>
          </w:tcPr>
          <w:p>
            <w:pPr>
              <w:spacing w:before="0" w:after="40" w:line="252" w:lineRule="auto"/>
              <w:jc w:val="center"/>
            </w:pPr>
            <w:r/>
            <w:r>
              <w:rPr>
                <w:rFonts w:ascii="Calibri" w:hAnsi="Calibri"/>
                <w:b/>
                <w:color w:val="7A5A00"/>
                <w:sz w:val="17"/>
              </w:rPr>
              <w:t>Moderate</w:t>
            </w:r>
          </w:p>
        </w:tc>
      </w:tr>
      <w:tr>
        <w:trPr>
          <w:cantSplit w:val="true"/>
        </w:trPr>
        <w:tc>
          <w:tcPr>
            <w:tcW w:type="dxa" w:w="1800"/>
            <w:tcMar>
              <w:top w:w="80" w:type="dxa"/>
              <w:bottom w:w="80" w:type="dxa"/>
              <w:start w:w="120" w:type="dxa"/>
              <w:end w:w="120" w:type="dxa"/>
            </w:tcMar>
            <w:vAlign w:val="center"/>
          </w:tcPr>
          <w:p>
            <w:pPr>
              <w:spacing w:before="0" w:after="40" w:line="252" w:lineRule="auto"/>
              <w:jc w:val="left"/>
            </w:pPr>
            <w:r/>
            <w:r>
              <w:rPr>
                <w:rFonts w:ascii="Calibri" w:hAnsi="Calibri"/>
                <w:b/>
                <w:color w:val="0B2545"/>
                <w:sz w:val="17"/>
              </w:rPr>
              <w:t>Punitive damages</w:t>
            </w:r>
          </w:p>
        </w:tc>
        <w:tc>
          <w:tcPr>
            <w:tcW w:type="dxa" w:w="34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SP-212 turns on West Virginia insurability; direct intentional conduct poses the greatest issue.</w:t>
            </w:r>
          </w:p>
        </w:tc>
        <w:tc>
          <w:tcPr>
            <w:tcW w:type="dxa" w:w="300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Reserve direct/vicarious and intentional-conduct distinctions.</w:t>
            </w:r>
          </w:p>
        </w:tc>
        <w:tc>
          <w:tcPr>
            <w:tcW w:type="dxa" w:w="1080"/>
            <w:tcMar>
              <w:top w:w="80" w:type="dxa"/>
              <w:bottom w:w="80" w:type="dxa"/>
              <w:start w:w="120" w:type="dxa"/>
              <w:end w:w="120" w:type="dxa"/>
            </w:tcMar>
            <w:vAlign w:val="center"/>
          </w:tcPr>
          <w:p>
            <w:pPr>
              <w:spacing w:before="0" w:after="40" w:line="252" w:lineRule="auto"/>
              <w:jc w:val="center"/>
            </w:pPr>
            <w:r/>
            <w:r>
              <w:rPr>
                <w:rFonts w:ascii="Calibri" w:hAnsi="Calibri"/>
                <w:b/>
                <w:color w:val="7A5A00"/>
                <w:sz w:val="17"/>
              </w:rPr>
              <w:t>Moderate</w:t>
            </w:r>
          </w:p>
        </w:tc>
      </w:tr>
      <w:tr>
        <w:trPr>
          <w:cantSplit w:val="true"/>
        </w:trPr>
        <w:tc>
          <w:tcPr>
            <w:tcW w:type="dxa" w:w="1800"/>
            <w:tcMar>
              <w:top w:w="80" w:type="dxa"/>
              <w:bottom w:w="80" w:type="dxa"/>
              <w:start w:w="120" w:type="dxa"/>
              <w:end w:w="120" w:type="dxa"/>
            </w:tcMar>
            <w:vAlign w:val="center"/>
          </w:tcPr>
          <w:p>
            <w:pPr>
              <w:spacing w:before="0" w:after="40" w:line="252" w:lineRule="auto"/>
              <w:jc w:val="left"/>
            </w:pPr>
            <w:r/>
            <w:r>
              <w:rPr>
                <w:rFonts w:ascii="Calibri" w:hAnsi="Calibri"/>
                <w:b/>
                <w:color w:val="0B2545"/>
                <w:sz w:val="17"/>
              </w:rPr>
              <w:t>Contractual indemnity</w:t>
            </w:r>
          </w:p>
        </w:tc>
        <w:tc>
          <w:tcPr>
            <w:tcW w:type="dxa" w:w="34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Article 7 likely is an insured contract, subject to Article 8's $2 million cap.</w:t>
            </w:r>
          </w:p>
        </w:tc>
        <w:tc>
          <w:tcPr>
            <w:tcW w:type="dxa" w:w="300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Reserve contract scope, cap, and covered-damages allocation.</w:t>
            </w:r>
          </w:p>
        </w:tc>
        <w:tc>
          <w:tcPr>
            <w:tcW w:type="dxa" w:w="1080"/>
            <w:tcMar>
              <w:top w:w="80" w:type="dxa"/>
              <w:bottom w:w="80" w:type="dxa"/>
              <w:start w:w="120" w:type="dxa"/>
              <w:end w:w="120" w:type="dxa"/>
            </w:tcMar>
            <w:vAlign w:val="center"/>
          </w:tcPr>
          <w:p>
            <w:pPr>
              <w:spacing w:before="0" w:after="40" w:line="252" w:lineRule="auto"/>
              <w:jc w:val="center"/>
            </w:pPr>
            <w:r/>
            <w:r>
              <w:rPr>
                <w:rFonts w:ascii="Calibri" w:hAnsi="Calibri"/>
                <w:b/>
                <w:color w:val="7A5A00"/>
                <w:sz w:val="17"/>
              </w:rPr>
              <w:t>Moderate</w:t>
            </w:r>
          </w:p>
        </w:tc>
      </w:tr>
      <w:tr>
        <w:trPr>
          <w:cantSplit w:val="true"/>
        </w:trPr>
        <w:tc>
          <w:tcPr>
            <w:tcW w:type="dxa" w:w="1800"/>
            <w:tcMar>
              <w:top w:w="80" w:type="dxa"/>
              <w:bottom w:w="80" w:type="dxa"/>
              <w:start w:w="120" w:type="dxa"/>
              <w:end w:w="120" w:type="dxa"/>
            </w:tcMar>
            <w:vAlign w:val="center"/>
          </w:tcPr>
          <w:p>
            <w:pPr>
              <w:spacing w:before="0" w:after="40" w:line="252" w:lineRule="auto"/>
              <w:jc w:val="left"/>
            </w:pPr>
            <w:r/>
            <w:r>
              <w:rPr>
                <w:rFonts w:ascii="Calibri" w:hAnsi="Calibri"/>
                <w:b/>
                <w:color w:val="0B2545"/>
                <w:sz w:val="17"/>
              </w:rPr>
              <w:t>Notice</w:t>
            </w:r>
          </w:p>
        </w:tc>
        <w:tc>
          <w:tcPr>
            <w:tcW w:type="dxa" w:w="34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53-day interval is not presently a forfeiture absent unreasonable delay and actual prejudice.</w:t>
            </w:r>
          </w:p>
        </w:tc>
        <w:tc>
          <w:tcPr>
            <w:tcW w:type="dxa" w:w="300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Reserve without denying; document prejudice investigation.</w:t>
            </w:r>
          </w:p>
        </w:tc>
        <w:tc>
          <w:tcPr>
            <w:tcW w:type="dxa" w:w="1080"/>
            <w:tcMar>
              <w:top w:w="80" w:type="dxa"/>
              <w:bottom w:w="80" w:type="dxa"/>
              <w:start w:w="120" w:type="dxa"/>
              <w:end w:w="120" w:type="dxa"/>
            </w:tcMar>
            <w:vAlign w:val="center"/>
          </w:tcPr>
          <w:p>
            <w:pPr>
              <w:spacing w:before="0" w:after="40" w:line="252" w:lineRule="auto"/>
              <w:jc w:val="center"/>
            </w:pPr>
            <w:r/>
            <w:r>
              <w:rPr>
                <w:rFonts w:ascii="Calibri" w:hAnsi="Calibri"/>
                <w:b/>
                <w:color w:val="1F5D42"/>
                <w:sz w:val="17"/>
              </w:rPr>
              <w:t>High</w:t>
            </w:r>
          </w:p>
        </w:tc>
      </w:tr>
      <w:tr>
        <w:trPr>
          <w:cantSplit w:val="true"/>
        </w:trPr>
        <w:tc>
          <w:tcPr>
            <w:tcW w:type="dxa" w:w="1800"/>
            <w:tcMar>
              <w:top w:w="80" w:type="dxa"/>
              <w:bottom w:w="80" w:type="dxa"/>
              <w:start w:w="120" w:type="dxa"/>
              <w:end w:w="120" w:type="dxa"/>
            </w:tcMar>
            <w:vAlign w:val="center"/>
          </w:tcPr>
          <w:p>
            <w:pPr>
              <w:spacing w:before="0" w:after="40" w:line="252" w:lineRule="auto"/>
              <w:jc w:val="left"/>
            </w:pPr>
            <w:r/>
            <w:r>
              <w:rPr>
                <w:rFonts w:ascii="Calibri" w:hAnsi="Calibri"/>
                <w:b/>
                <w:color w:val="0B2545"/>
                <w:sz w:val="17"/>
              </w:rPr>
              <w:t>Recall</w:t>
            </w:r>
          </w:p>
        </w:tc>
        <w:tc>
          <w:tcPr>
            <w:tcW w:type="dxa" w:w="34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Prospective inspection, recall, repair, and replacement costs are excluded.</w:t>
            </w:r>
          </w:p>
        </w:tc>
        <w:tc>
          <w:tcPr>
            <w:tcW w:type="dxa" w:w="300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Separate recall ledger from already-occurring injury/damage.</w:t>
            </w:r>
          </w:p>
        </w:tc>
        <w:tc>
          <w:tcPr>
            <w:tcW w:type="dxa" w:w="1080"/>
            <w:tcMar>
              <w:top w:w="80" w:type="dxa"/>
              <w:bottom w:w="80" w:type="dxa"/>
              <w:start w:w="120" w:type="dxa"/>
              <w:end w:w="120" w:type="dxa"/>
            </w:tcMar>
            <w:vAlign w:val="center"/>
          </w:tcPr>
          <w:p>
            <w:pPr>
              <w:spacing w:before="0" w:after="40" w:line="252" w:lineRule="auto"/>
              <w:jc w:val="center"/>
            </w:pPr>
            <w:r/>
            <w:r>
              <w:rPr>
                <w:rFonts w:ascii="Calibri" w:hAnsi="Calibri"/>
                <w:b/>
                <w:color w:val="1F5D42"/>
                <w:sz w:val="17"/>
              </w:rPr>
              <w:t>High</w:t>
            </w:r>
          </w:p>
        </w:tc>
      </w:tr>
    </w:tbl>
    <w:p>
      <w:pPr>
        <w:pStyle w:val="SourceCitation"/>
      </w:pPr>
      <w:r>
        <w:rPr>
          <w:rFonts w:ascii="Calibri" w:hAnsi="Calibri"/>
          <w:i/>
          <w:color w:val="666666"/>
          <w:sz w:val="18"/>
        </w:rPr>
        <w:t>Record: Policy declarations and §§ I.A, II.A.4, II.C, II.D.2, II.D.10; CG 21 49; CG 24 04; SP-107; SP-212; Complaint ¶¶ 1–5, 142–168; Tender Letter dated May 6, 2024.</w:t>
      </w:r>
    </w:p>
    <w:p>
      <w:pPr>
        <w:pStyle w:val="Heading1"/>
      </w:pPr>
      <w:r>
        <w:t>1. Assignment, Record, and Assumptions</w:t>
      </w:r>
    </w:p>
    <w:p>
      <w:r>
        <w:rPr>
          <w:rFonts w:ascii="Calibri" w:hAnsi="Calibri"/>
          <w:b/>
          <w:color w:val="0B2545"/>
          <w:sz w:val="22"/>
        </w:rPr>
        <w:t xml:space="preserve">Assignment. </w:t>
      </w:r>
      <w:r>
        <w:rPr>
          <w:rFonts w:ascii="Calibri" w:hAnsi="Calibri"/>
          <w:color w:val="000000"/>
          <w:sz w:val="22"/>
        </w:rPr>
        <w:t>This opinion evaluates Pinnacle's defense and indemnity obligations under Policy PCS-GL-2023-044817 for the Dobson action. It is an internal, preliminary coverage assessment based on the supplied record. It is not a final coverage determination or a substitute for facts developed in the underlying action.</w:t>
      </w:r>
    </w:p>
    <w:p>
      <w:r>
        <w:rPr>
          <w:rFonts w:ascii="Calibri" w:hAnsi="Calibri"/>
          <w:b/>
          <w:color w:val="0B2545"/>
          <w:sz w:val="22"/>
        </w:rPr>
        <w:t xml:space="preserve">Governing law. </w:t>
      </w:r>
      <w:r>
        <w:rPr>
          <w:rFonts w:ascii="Calibri" w:hAnsi="Calibri"/>
          <w:color w:val="000000"/>
          <w:sz w:val="22"/>
        </w:rPr>
        <w:t>This analysis applies West Virginia law because the incident and alleged injury occurred in West Virginia and the underlying action is pending there. A final choice-of-law review should also consider the Ohio insured and policy-delivery facts; nothing in the current record warrants displacing West Virginia law for this provisional opinion.</w:t>
      </w:r>
    </w:p>
    <w:p>
      <w:r>
        <w:rPr>
          <w:rFonts w:ascii="Calibri" w:hAnsi="Calibri"/>
          <w:b/>
          <w:color w:val="0B2545"/>
          <w:sz w:val="22"/>
        </w:rPr>
        <w:t xml:space="preserve">Materials reviewed. </w:t>
      </w:r>
      <w:r>
        <w:rPr>
          <w:rFonts w:ascii="Calibri" w:hAnsi="Calibri"/>
          <w:color w:val="000000"/>
          <w:sz w:val="22"/>
        </w:rPr>
        <w:t>We reviewed the full CGL policy; the April 29, 2024 complaint and Ellerby cross-claim; Ridgeline's May 6, 2024 tender; Cromdale Consulting's June 3, 2024 root-cause report; prior-claims correspondence; and excerpts from the March 1, 2021 Ridgeline–Ellerby Supply Agreement.</w:t>
      </w:r>
    </w:p>
    <w:p>
      <w:pPr>
        <w:pStyle w:val="SourceCitation"/>
      </w:pPr>
      <w:r>
        <w:rPr>
          <w:rFonts w:ascii="Calibri" w:hAnsi="Calibri"/>
          <w:i/>
          <w:color w:val="666666"/>
          <w:sz w:val="18"/>
        </w:rPr>
        <w:t>Record: All six supplied source documents.</w:t>
      </w:r>
    </w:p>
    <w:p>
      <w:pPr>
        <w:pStyle w:val="Heading1"/>
      </w:pPr>
      <w:r>
        <w:t>2. Material Facts and Pleaded Claims</w:t>
      </w:r>
    </w:p>
    <w:p>
      <w:pPr>
        <w:pStyle w:val="Heading2"/>
      </w:pPr>
      <w:r>
        <w:t>2.1 Incident and injuries</w:t>
      </w:r>
    </w:p>
    <w:p>
      <w:r>
        <w:rPr>
          <w:rFonts w:ascii="Calibri" w:hAnsi="Calibri"/>
          <w:b/>
          <w:color w:val="0B2545"/>
          <w:sz w:val="22"/>
        </w:rPr>
        <w:t xml:space="preserve">Loss event. </w:t>
      </w:r>
      <w:r>
        <w:rPr>
          <w:rFonts w:ascii="Calibri" w:hAnsi="Calibri"/>
          <w:color w:val="000000"/>
          <w:sz w:val="22"/>
        </w:rPr>
        <w:t>On March 14, 2024, three Model 7400 pneumatic relief valves failed in a cascade on a high-pressure solvent reclamation loop at Ellerby Chemical Processing's facility in Nitro, West Virginia. The failure produced a 47-minute release of aerosolized perchloroethylene (PCE) and trichloroethylene (TCE). The complaint calls it a “catastrophic discharge of toxic industrial chemicals”; it does not use “pollution” or “contamination” to characterize the initiating event, although it alleges contamination and remediation damage downstream.</w:t>
      </w:r>
    </w:p>
    <w:p>
      <w:r>
        <w:rPr>
          <w:rFonts w:ascii="Calibri" w:hAnsi="Calibri"/>
          <w:b/>
          <w:color w:val="0B2545"/>
          <w:sz w:val="22"/>
        </w:rPr>
        <w:t xml:space="preserve">Claimants and injuries. </w:t>
      </w:r>
      <w:r>
        <w:rPr>
          <w:rFonts w:ascii="Calibri" w:hAnsi="Calibri"/>
          <w:color w:val="000000"/>
          <w:sz w:val="22"/>
        </w:rPr>
        <w:t>Twenty-three individual worker plaintiffs allege respiratory distress, chemical burns, and neurological symptoms. Lead plaintiff Marcus W. Dobson alleges permanent lung damage. The complaint asserts against Ridgeline strict product liability for design defect, manufacturing defect, and failure to warn; negligence; breach of implied warranty; and breach of express warranty.</w:t>
      </w:r>
    </w:p>
    <w:p>
      <w:pPr>
        <w:pStyle w:val="SourceCitation"/>
      </w:pPr>
      <w:r>
        <w:rPr>
          <w:rFonts w:ascii="Calibri" w:hAnsi="Calibri"/>
          <w:i/>
          <w:color w:val="666666"/>
          <w:sz w:val="18"/>
        </w:rPr>
        <w:t>Record: Complaint ¶¶ 1–5, 38–78, Counts I–VI, ¶¶ 161–168; Tender Letter §§ II–III.</w:t>
      </w:r>
    </w:p>
    <w:p>
      <w:pPr>
        <w:pStyle w:val="Heading2"/>
      </w:pPr>
      <w:r>
        <w:t>2.2 Engineering causation and broader product population</w:t>
      </w:r>
    </w:p>
    <w:p>
      <w:r>
        <w:rPr>
          <w:rFonts w:ascii="Calibri" w:hAnsi="Calibri"/>
          <w:b/>
          <w:color w:val="0B2545"/>
          <w:sz w:val="22"/>
        </w:rPr>
        <w:t xml:space="preserve">Root cause. </w:t>
      </w:r>
      <w:r>
        <w:rPr>
          <w:rFonts w:ascii="Calibri" w:hAnsi="Calibri"/>
          <w:color w:val="000000"/>
          <w:sz w:val="22"/>
        </w:rPr>
        <w:t>Cromdale identifies Engineering Change Notice ECN 2021-034 as the root cause. Effective February 15, 2021, the change reduced diaphragm-seat weld penetration from 4.5 mm to 3.2 mm—about 28.9%—and reduced the weld's fatigue capacity. All three failed valves used the post-ECN specification.</w:t>
      </w:r>
    </w:p>
    <w:p>
      <w:r>
        <w:rPr>
          <w:rFonts w:ascii="Calibri" w:hAnsi="Calibri"/>
          <w:b/>
          <w:color w:val="0B2545"/>
          <w:sz w:val="22"/>
        </w:rPr>
        <w:t xml:space="preserve">Foreseeability language. </w:t>
      </w:r>
      <w:r>
        <w:rPr>
          <w:rFonts w:ascii="Calibri" w:hAnsi="Calibri"/>
          <w:color w:val="000000"/>
          <w:sz w:val="22"/>
        </w:rPr>
        <w:t>Dr. Kurtz describes the cascade as a “reasonably foreseeable consequence” of operating the reduced-weld valves at or near the 650 PSI rating for extended periods. That engineering opinion is important evidence, but it speaks in an objective tort/engineering vocabulary; it does not by itself establish that Ridgeline subjectively expected or intended the specific bodily injury or property damage.</w:t>
      </w:r>
    </w:p>
    <w:p>
      <w:r>
        <w:rPr>
          <w:rFonts w:ascii="Calibri" w:hAnsi="Calibri"/>
          <w:b/>
          <w:color w:val="0B2545"/>
          <w:sz w:val="22"/>
        </w:rPr>
        <w:t xml:space="preserve">Recall population. </w:t>
      </w:r>
      <w:r>
        <w:rPr>
          <w:rFonts w:ascii="Calibri" w:hAnsi="Calibri"/>
          <w:color w:val="000000"/>
          <w:sz w:val="22"/>
        </w:rPr>
        <w:t>Cromdale estimates that approximately 1,450 post-ECN Model 7400 valves remain in service across approximately 38 customer sites. That population creates significant safety, commercial, and aggregation risk. It does not convert prospective recall expense into covered damages.</w:t>
      </w:r>
    </w:p>
    <w:p>
      <w:pPr>
        <w:pStyle w:val="SourceCitation"/>
      </w:pPr>
      <w:r>
        <w:rPr>
          <w:rFonts w:ascii="Calibri" w:hAnsi="Calibri"/>
          <w:i/>
          <w:color w:val="666666"/>
          <w:sz w:val="18"/>
        </w:rPr>
        <w:t>Record: Cromdale Consulting Report §§ 1, 3.2, 4–9 and appendices.</w:t>
      </w:r>
    </w:p>
    <w:p>
      <w:pPr>
        <w:pStyle w:val="Heading2"/>
      </w:pPr>
      <w:r>
        <w:t>2.3 Prior awareness</w:t>
      </w:r>
    </w:p>
    <w:p>
      <w:r>
        <w:rPr>
          <w:rFonts w:ascii="Calibri" w:hAnsi="Calibri"/>
          <w:b/>
          <w:color w:val="0B2545"/>
          <w:sz w:val="22"/>
        </w:rPr>
        <w:t xml:space="preserve">January 22 email. </w:t>
      </w:r>
      <w:r>
        <w:rPr>
          <w:rFonts w:ascii="Calibri" w:hAnsi="Calibri"/>
          <w:color w:val="000000"/>
          <w:sz w:val="22"/>
        </w:rPr>
        <w:t>A January 22, 2024 email from Ridgeline Risk Manager Denise Ogawa to William Tanaka discussed “premature wear” complaints from two other customers. The email is relevant to known loss, expected injury, notice, and underwriting representations; it should be collected with its attachments and response chain.</w:t>
      </w:r>
    </w:p>
    <w:p>
      <w:r>
        <w:rPr>
          <w:rFonts w:ascii="Calibri" w:hAnsi="Calibri"/>
          <w:b/>
          <w:color w:val="0B2545"/>
          <w:sz w:val="22"/>
        </w:rPr>
        <w:t xml:space="preserve">Zanesville loss. </w:t>
      </w:r>
      <w:r>
        <w:rPr>
          <w:rFonts w:ascii="Calibri" w:hAnsi="Calibri"/>
          <w:color w:val="000000"/>
          <w:sz w:val="22"/>
        </w:rPr>
        <w:t>A November 2022 Zanesville incident involved Model 7400 valve serial number 7400-2022-0201, manufactured to the same post-ECN weld specification. Pinnacle paid $47,500 under prior Policy PCS-GL-2022-039621. The prior loss is a material warning signal, but a paid loss involving another valve, customer, time, and site is not itself the March 2024 occurrence.</w:t>
      </w:r>
    </w:p>
    <w:p>
      <w:pPr>
        <w:pStyle w:val="SourceCitation"/>
      </w:pPr>
      <w:r>
        <w:rPr>
          <w:rFonts w:ascii="Calibri" w:hAnsi="Calibri"/>
          <w:i/>
          <w:color w:val="666666"/>
          <w:sz w:val="18"/>
        </w:rPr>
        <w:t>Record: Prior Claims Correspondence, January 22, 2024 email and November 2022 claim summary.</w:t>
      </w:r>
    </w:p>
    <w:p>
      <w:pPr>
        <w:pStyle w:val="Heading2"/>
      </w:pPr>
      <w:r>
        <w:t>2.4 Damages and contractual allocation</w:t>
      </w:r>
    </w:p>
    <w:tbl>
      <w:tblPr>
        <w:tblStyle w:val="TableGrid"/>
        <w:tblW w:type="dxa" w:w="9360"/>
        <w:jc w:val="left"/>
        <w:tblLayout w:type="fixed"/>
        <w:tblLook w:firstColumn="1" w:firstRow="1" w:lastColumn="0" w:lastRow="0" w:noHBand="0" w:noVBand="1" w:val="04A0"/>
        <w:tblInd w:w="120" w:type="dxa"/>
      </w:tblPr>
      <w:tblGrid>
        <w:gridCol w:w="2160"/>
        <w:gridCol w:w="1620"/>
        <w:gridCol w:w="5580"/>
      </w:tblGrid>
      <w:tr>
        <w:trPr>
          <w:tblHeader w:val="true"/>
          <w:cantSplit w:val="true"/>
        </w:trPr>
        <w:tc>
          <w:tcPr>
            <w:tcW w:type="dxa" w:w="2160"/>
            <w:shd w:fill="F2F4F7"/>
            <w:tcMar>
              <w:top w:w="80" w:type="dxa"/>
              <w:bottom w:w="80" w:type="dxa"/>
              <w:start w:w="120" w:type="dxa"/>
              <w:end w:w="120" w:type="dxa"/>
            </w:tcMar>
            <w:vAlign w:val="center"/>
          </w:tcPr>
          <w:p>
            <w:pPr>
              <w:spacing w:before="0" w:after="40" w:line="252" w:lineRule="auto"/>
              <w:jc w:val="center"/>
            </w:pPr>
            <w:r/>
            <w:r>
              <w:rPr>
                <w:rFonts w:ascii="Calibri" w:hAnsi="Calibri"/>
                <w:b/>
                <w:color w:val="0B2545"/>
                <w:sz w:val="18"/>
              </w:rPr>
              <w:t>Component</w:t>
            </w:r>
          </w:p>
        </w:tc>
        <w:tc>
          <w:tcPr>
            <w:tcW w:type="dxa" w:w="1620"/>
            <w:shd w:fill="F2F4F7"/>
            <w:tcMar>
              <w:top w:w="80" w:type="dxa"/>
              <w:bottom w:w="80" w:type="dxa"/>
              <w:start w:w="120" w:type="dxa"/>
              <w:end w:w="120" w:type="dxa"/>
            </w:tcMar>
            <w:vAlign w:val="center"/>
          </w:tcPr>
          <w:p>
            <w:pPr>
              <w:spacing w:before="0" w:after="40" w:line="252" w:lineRule="auto"/>
              <w:jc w:val="center"/>
            </w:pPr>
            <w:r/>
            <w:r>
              <w:rPr>
                <w:rFonts w:ascii="Calibri" w:hAnsi="Calibri"/>
                <w:b/>
                <w:color w:val="0B2545"/>
                <w:sz w:val="18"/>
              </w:rPr>
              <w:t>Alleged amount</w:t>
            </w:r>
          </w:p>
        </w:tc>
        <w:tc>
          <w:tcPr>
            <w:tcW w:type="dxa" w:w="5580"/>
            <w:shd w:fill="F2F4F7"/>
            <w:tcMar>
              <w:top w:w="80" w:type="dxa"/>
              <w:bottom w:w="80" w:type="dxa"/>
              <w:start w:w="120" w:type="dxa"/>
              <w:end w:w="120" w:type="dxa"/>
            </w:tcMar>
            <w:vAlign w:val="center"/>
          </w:tcPr>
          <w:p>
            <w:pPr>
              <w:spacing w:before="0" w:after="40" w:line="252" w:lineRule="auto"/>
              <w:jc w:val="center"/>
            </w:pPr>
            <w:r/>
            <w:r>
              <w:rPr>
                <w:rFonts w:ascii="Calibri" w:hAnsi="Calibri"/>
                <w:b/>
                <w:color w:val="0B2545"/>
                <w:sz w:val="18"/>
              </w:rPr>
              <w:t>Coverage significance</w:t>
            </w:r>
          </w:p>
        </w:tc>
      </w:tr>
      <w:tr>
        <w:trPr>
          <w:cantSplit w:val="true"/>
        </w:trPr>
        <w:tc>
          <w:tcPr>
            <w:tcW w:type="dxa" w:w="216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Individual plaintiffs</w:t>
            </w:r>
          </w:p>
        </w:tc>
        <w:tc>
          <w:tcPr>
            <w:tcW w:type="dxa" w:w="16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$18.5 million</w:t>
            </w:r>
          </w:p>
        </w:tc>
        <w:tc>
          <w:tcPr>
            <w:tcW w:type="dxa" w:w="55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Compensatory bodily-injury damages alleged by 23 workers.</w:t>
            </w:r>
          </w:p>
        </w:tc>
      </w:tr>
      <w:tr>
        <w:trPr>
          <w:cantSplit w:val="true"/>
        </w:trPr>
        <w:tc>
          <w:tcPr>
            <w:tcW w:type="dxa" w:w="216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Ellerby remediation</w:t>
            </w:r>
          </w:p>
        </w:tc>
        <w:tc>
          <w:tcPr>
            <w:tcW w:type="dxa" w:w="16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$3.2 million</w:t>
            </w:r>
          </w:p>
        </w:tc>
        <w:tc>
          <w:tcPr>
            <w:tcW w:type="dxa" w:w="55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Building decontamination plus soil/groundwater investigation and remediation.</w:t>
            </w:r>
          </w:p>
        </w:tc>
      </w:tr>
      <w:tr>
        <w:trPr>
          <w:cantSplit w:val="true"/>
        </w:trPr>
        <w:tc>
          <w:tcPr>
            <w:tcW w:type="dxa" w:w="216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Ellerby lost profits</w:t>
            </w:r>
          </w:p>
        </w:tc>
        <w:tc>
          <w:tcPr>
            <w:tcW w:type="dxa" w:w="16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$2.8 million</w:t>
            </w:r>
          </w:p>
        </w:tc>
        <w:tc>
          <w:tcPr>
            <w:tcW w:type="dxa" w:w="55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Six-week shutdown; coverage depends on covered property damage and policy terms.</w:t>
            </w:r>
          </w:p>
        </w:tc>
      </w:tr>
      <w:tr>
        <w:trPr>
          <w:cantSplit w:val="true"/>
        </w:trPr>
        <w:tc>
          <w:tcPr>
            <w:tcW w:type="dxa" w:w="216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Total compensatory</w:t>
            </w:r>
          </w:p>
        </w:tc>
        <w:tc>
          <w:tcPr>
            <w:tcW w:type="dxa" w:w="16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$24.5 million</w:t>
            </w:r>
          </w:p>
        </w:tc>
        <w:tc>
          <w:tcPr>
            <w:tcW w:type="dxa" w:w="55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Exclusive of punitive damages, interest, fees, and defense expense.</w:t>
            </w:r>
          </w:p>
        </w:tc>
      </w:tr>
      <w:tr>
        <w:trPr>
          <w:cantSplit w:val="true"/>
        </w:trPr>
        <w:tc>
          <w:tcPr>
            <w:tcW w:type="dxa" w:w="216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Punitive damages</w:t>
            </w:r>
          </w:p>
        </w:tc>
        <w:tc>
          <w:tcPr>
            <w:tcW w:type="dxa" w:w="16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Unspecified</w:t>
            </w:r>
          </w:p>
        </w:tc>
        <w:tc>
          <w:tcPr>
            <w:tcW w:type="dxa" w:w="55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Sought against Ridgeline for alleged willful, wanton, and reckless conduct.</w:t>
            </w:r>
          </w:p>
        </w:tc>
      </w:tr>
    </w:tbl>
    <w:p>
      <w:r>
        <w:rPr>
          <w:rFonts w:ascii="Calibri" w:hAnsi="Calibri"/>
          <w:b/>
          <w:color w:val="0B2545"/>
          <w:sz w:val="22"/>
        </w:rPr>
        <w:t xml:space="preserve">Supply Agreement. </w:t>
      </w:r>
      <w:r>
        <w:rPr>
          <w:rFonts w:ascii="Calibri" w:hAnsi="Calibri"/>
          <w:color w:val="000000"/>
          <w:sz w:val="22"/>
        </w:rPr>
        <w:t>Article 7 requires Ridgeline to defend, indemnify, and hold Ellerby harmless from third-party claims arising from product defects. Article 8 caps Ridgeline's aggregate Article 7 liability at the greater of $2,000,000 or the purchase price for the implicated product model. The supplied record states that the price for 62 Model 7400 valves was $496,800, making the contractual cap $2,000,000. This cap limits contractual indemnity; it does not cap Ridgeline's independent tort liability to the worker plaintiffs or necessarily every direct property-damage theory Ellerby pleads.</w:t>
      </w:r>
    </w:p>
    <w:p>
      <w:pPr>
        <w:pStyle w:val="SourceCitation"/>
      </w:pPr>
      <w:r>
        <w:rPr>
          <w:rFonts w:ascii="Calibri" w:hAnsi="Calibri"/>
          <w:i/>
          <w:color w:val="666666"/>
          <w:sz w:val="18"/>
        </w:rPr>
        <w:t>Record: Complaint ¶¶ 142–168; Supply Agreement Arts. 7, 8, and 12; Tender Letter §§ III–V.</w:t>
      </w:r>
    </w:p>
    <w:p>
      <w:pPr>
        <w:pStyle w:val="Heading1"/>
      </w:pPr>
      <w:r>
        <w:t>3. Policy Framework</w:t>
      </w:r>
    </w:p>
    <w:tbl>
      <w:tblPr>
        <w:tblStyle w:val="TableGrid"/>
        <w:tblW w:type="dxa" w:w="9360"/>
        <w:jc w:val="left"/>
        <w:tblLayout w:type="fixed"/>
        <w:tblLook w:firstColumn="1" w:firstRow="1" w:lastColumn="0" w:lastRow="0" w:noHBand="0" w:noVBand="1" w:val="04A0"/>
        <w:tblInd w:w="120" w:type="dxa"/>
      </w:tblPr>
      <w:tblGrid>
        <w:gridCol w:w="2520"/>
        <w:gridCol w:w="2520"/>
        <w:gridCol w:w="4320"/>
      </w:tblGrid>
      <w:tr>
        <w:trPr>
          <w:tblHeader w:val="true"/>
          <w:cantSplit w:val="true"/>
        </w:trPr>
        <w:tc>
          <w:tcPr>
            <w:tcW w:type="dxa" w:w="2520"/>
            <w:shd w:fill="F2F4F7"/>
            <w:tcMar>
              <w:top w:w="80" w:type="dxa"/>
              <w:bottom w:w="80" w:type="dxa"/>
              <w:start w:w="120" w:type="dxa"/>
              <w:end w:w="120" w:type="dxa"/>
            </w:tcMar>
            <w:vAlign w:val="center"/>
          </w:tcPr>
          <w:p>
            <w:pPr>
              <w:spacing w:before="0" w:after="40" w:line="252" w:lineRule="auto"/>
              <w:jc w:val="center"/>
            </w:pPr>
            <w:r/>
            <w:r>
              <w:rPr>
                <w:rFonts w:ascii="Calibri" w:hAnsi="Calibri"/>
                <w:b/>
                <w:color w:val="0B2545"/>
                <w:sz w:val="18"/>
              </w:rPr>
              <w:t>Term</w:t>
            </w:r>
          </w:p>
        </w:tc>
        <w:tc>
          <w:tcPr>
            <w:tcW w:type="dxa" w:w="2520"/>
            <w:shd w:fill="F2F4F7"/>
            <w:tcMar>
              <w:top w:w="80" w:type="dxa"/>
              <w:bottom w:w="80" w:type="dxa"/>
              <w:start w:w="120" w:type="dxa"/>
              <w:end w:w="120" w:type="dxa"/>
            </w:tcMar>
            <w:vAlign w:val="center"/>
          </w:tcPr>
          <w:p>
            <w:pPr>
              <w:spacing w:before="0" w:after="40" w:line="252" w:lineRule="auto"/>
              <w:jc w:val="center"/>
            </w:pPr>
            <w:r/>
            <w:r>
              <w:rPr>
                <w:rFonts w:ascii="Calibri" w:hAnsi="Calibri"/>
                <w:b/>
                <w:color w:val="0B2545"/>
                <w:sz w:val="18"/>
              </w:rPr>
              <w:t>Policy text / amount</w:t>
            </w:r>
          </w:p>
        </w:tc>
        <w:tc>
          <w:tcPr>
            <w:tcW w:type="dxa" w:w="4320"/>
            <w:shd w:fill="F2F4F7"/>
            <w:tcMar>
              <w:top w:w="80" w:type="dxa"/>
              <w:bottom w:w="80" w:type="dxa"/>
              <w:start w:w="120" w:type="dxa"/>
              <w:end w:w="120" w:type="dxa"/>
            </w:tcMar>
            <w:vAlign w:val="center"/>
          </w:tcPr>
          <w:p>
            <w:pPr>
              <w:spacing w:before="0" w:after="40" w:line="252" w:lineRule="auto"/>
              <w:jc w:val="center"/>
            </w:pPr>
            <w:r/>
            <w:r>
              <w:rPr>
                <w:rFonts w:ascii="Calibri" w:hAnsi="Calibri"/>
                <w:b/>
                <w:color w:val="0B2545"/>
                <w:sz w:val="18"/>
              </w:rPr>
              <w:t>Application</w:t>
            </w:r>
          </w:p>
        </w:tc>
      </w:tr>
      <w:tr>
        <w:trPr>
          <w:cantSplit w:val="true"/>
        </w:trPr>
        <w:tc>
          <w:tcPr>
            <w:tcW w:type="dxa" w:w="25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Form</w:t>
            </w:r>
          </w:p>
        </w:tc>
        <w:tc>
          <w:tcPr>
            <w:tcW w:type="dxa" w:w="25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ISO CG 00 01 04 13</w:t>
            </w:r>
          </w:p>
        </w:tc>
        <w:tc>
          <w:tcPr>
            <w:tcW w:type="dxa" w:w="43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Occurrence-based CGL; not claims-made.</w:t>
            </w:r>
          </w:p>
        </w:tc>
      </w:tr>
      <w:tr>
        <w:trPr>
          <w:cantSplit w:val="true"/>
        </w:trPr>
        <w:tc>
          <w:tcPr>
            <w:tcW w:type="dxa" w:w="25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Policy period</w:t>
            </w:r>
          </w:p>
        </w:tc>
        <w:tc>
          <w:tcPr>
            <w:tcW w:type="dxa" w:w="25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Oct. 1, 2023–Oct. 1, 2024</w:t>
            </w:r>
          </w:p>
        </w:tc>
        <w:tc>
          <w:tcPr>
            <w:tcW w:type="dxa" w:w="43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March 14, 2024 incident falls within the period.</w:t>
            </w:r>
          </w:p>
        </w:tc>
      </w:tr>
      <w:tr>
        <w:trPr>
          <w:cantSplit w:val="true"/>
        </w:trPr>
        <w:tc>
          <w:tcPr>
            <w:tcW w:type="dxa" w:w="25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Each Occurrence</w:t>
            </w:r>
          </w:p>
        </w:tc>
        <w:tc>
          <w:tcPr>
            <w:tcW w:type="dxa" w:w="25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$5,000,000</w:t>
            </w:r>
          </w:p>
        </w:tc>
        <w:tc>
          <w:tcPr>
            <w:tcW w:type="dxa" w:w="43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Subject to the applicable aggregate.</w:t>
            </w:r>
          </w:p>
        </w:tc>
      </w:tr>
      <w:tr>
        <w:trPr>
          <w:cantSplit w:val="true"/>
        </w:trPr>
        <w:tc>
          <w:tcPr>
            <w:tcW w:type="dxa" w:w="25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General Aggregate</w:t>
            </w:r>
          </w:p>
        </w:tc>
        <w:tc>
          <w:tcPr>
            <w:tcW w:type="dxa" w:w="25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$10,000,000</w:t>
            </w:r>
          </w:p>
        </w:tc>
        <w:tc>
          <w:tcPr>
            <w:tcW w:type="dxa" w:w="43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Not the controlling aggregate for products-completed operations damages.</w:t>
            </w:r>
          </w:p>
        </w:tc>
      </w:tr>
      <w:tr>
        <w:trPr>
          <w:cantSplit w:val="true"/>
        </w:trPr>
        <w:tc>
          <w:tcPr>
            <w:tcW w:type="dxa" w:w="25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Products-Completed Operations Aggregate</w:t>
            </w:r>
          </w:p>
        </w:tc>
        <w:tc>
          <w:tcPr>
            <w:tcW w:type="dxa" w:w="25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$5,000,000</w:t>
            </w:r>
          </w:p>
        </w:tc>
        <w:tc>
          <w:tcPr>
            <w:tcW w:type="dxa" w:w="43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Controlling aggregate and maximum for covered products-liability damages.</w:t>
            </w:r>
          </w:p>
        </w:tc>
      </w:tr>
      <w:tr>
        <w:trPr>
          <w:cantSplit w:val="true"/>
        </w:trPr>
        <w:tc>
          <w:tcPr>
            <w:tcW w:type="dxa" w:w="25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Deductible</w:t>
            </w:r>
          </w:p>
        </w:tc>
        <w:tc>
          <w:tcPr>
            <w:tcW w:type="dxa" w:w="25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$100,000 per occurrence</w:t>
            </w:r>
          </w:p>
        </w:tc>
        <w:tc>
          <w:tcPr>
            <w:tcW w:type="dxa" w:w="43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Damages only; does not apply to defense costs; policy says it erodes the limit.</w:t>
            </w:r>
          </w:p>
        </w:tc>
      </w:tr>
      <w:tr>
        <w:trPr>
          <w:cantSplit w:val="true"/>
        </w:trPr>
        <w:tc>
          <w:tcPr>
            <w:tcW w:type="dxa" w:w="25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Defense expense</w:t>
            </w:r>
          </w:p>
        </w:tc>
        <w:tc>
          <w:tcPr>
            <w:tcW w:type="dxa" w:w="25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Supplementary payments</w:t>
            </w:r>
          </w:p>
        </w:tc>
        <w:tc>
          <w:tcPr>
            <w:tcW w:type="dxa" w:w="432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Outside limits; does not erode the $5 million liability limits.</w:t>
            </w:r>
          </w:p>
        </w:tc>
      </w:tr>
    </w:tbl>
    <w:p>
      <w:r>
        <w:rPr>
          <w:rFonts w:ascii="Calibri" w:hAnsi="Calibri"/>
          <w:b/>
          <w:color w:val="0B2545"/>
          <w:sz w:val="22"/>
        </w:rPr>
        <w:t xml:space="preserve">Insuring agreement. </w:t>
      </w:r>
      <w:r>
        <w:rPr>
          <w:rFonts w:ascii="Calibri" w:hAnsi="Calibri"/>
          <w:color w:val="000000"/>
          <w:sz w:val="22"/>
        </w:rPr>
        <w:t>Ridgeline Manufacturing, Inc. is the Named Insured. Coverage A applies to sums the insured becomes legally obligated to pay as damages because of bodily injury or property damage caused by an occurrence in the coverage territory, provided the injury or damage occurs during the policy period. The March 14, 2024 incident is within the October 1, 2023 to October 1, 2024 policy period.</w:t>
      </w:r>
    </w:p>
    <w:p>
      <w:pPr>
        <w:pStyle w:val="SourceCitation"/>
      </w:pPr>
      <w:r>
        <w:rPr>
          <w:rFonts w:ascii="Calibri" w:hAnsi="Calibri"/>
          <w:i/>
          <w:color w:val="666666"/>
          <w:sz w:val="18"/>
        </w:rPr>
        <w:t>Record: Policy Declarations; CG 00 01 04 13 §§ I.A.1, II, III, V; Deductible Condition.</w:t>
      </w:r>
    </w:p>
    <w:p>
      <w:pPr>
        <w:pStyle w:val="Heading1"/>
      </w:pPr>
      <w:r>
        <w:t>4. Duty to Defend</w:t>
      </w:r>
    </w:p>
    <w:p>
      <w:r>
        <w:rPr>
          <w:rFonts w:ascii="Calibri" w:hAnsi="Calibri"/>
          <w:b/>
          <w:color w:val="0B2545"/>
          <w:sz w:val="22"/>
        </w:rPr>
        <w:t xml:space="preserve">West Virginia standard. </w:t>
      </w:r>
      <w:r>
        <w:rPr>
          <w:rFonts w:ascii="Calibri" w:hAnsi="Calibri"/>
          <w:color w:val="000000"/>
          <w:sz w:val="22"/>
        </w:rPr>
        <w:t>West Virginia ordinarily compares the allegations in the complaint with the policy—the familiar “eight corners” framework—and construes doubt about the defense obligation in the insured's favor. The operative question is whether the allegations are reasonably susceptible of an interpretation that may be covered. Bruceton Bank v. U.S. Fidelity &amp; Guaranty Insurance Co., 199 W. Va. 548, 486 S.E.2d 19 (1997). If the complaint is ambiguous on a coverage fact, West Virginia authority permits a court to consider facts developed outside the pleading in defining the potential for coverage; extrinsic evidence should not be used at inception to defeat an otherwise potentially covered pleading.</w:t>
      </w:r>
    </w:p>
    <w:p>
      <w:r>
        <w:rPr>
          <w:rFonts w:ascii="Calibri" w:hAnsi="Calibri"/>
          <w:b/>
          <w:color w:val="0B2545"/>
          <w:sz w:val="22"/>
        </w:rPr>
        <w:t xml:space="preserve">Application. </w:t>
      </w:r>
      <w:r>
        <w:rPr>
          <w:rFonts w:ascii="Calibri" w:hAnsi="Calibri"/>
          <w:color w:val="000000"/>
          <w:sz w:val="22"/>
        </w:rPr>
        <w:t>The complaint alleges accidental valve failure, bodily injury, and property damage during the policy period. At least the design-defect, manufacturing-defect, failure-to-warn, negligence, and warranty counts are reasonably susceptible of covered products-liability liability. Some damages may ultimately be excluded, but a partial potential for coverage triggers a defense of the entire suit, subject to an effective reservation.</w:t>
      </w:r>
    </w:p>
    <w:p>
      <w:r>
        <w:rPr>
          <w:rFonts w:ascii="Calibri" w:hAnsi="Calibri"/>
          <w:b/>
          <w:color w:val="0B2545"/>
          <w:sz w:val="22"/>
        </w:rPr>
        <w:t xml:space="preserve">Defense expense. </w:t>
      </w:r>
      <w:r>
        <w:rPr>
          <w:rFonts w:ascii="Calibri" w:hAnsi="Calibri"/>
          <w:color w:val="000000"/>
          <w:sz w:val="22"/>
        </w:rPr>
        <w:t>Pinnacle should pay appointed-counsel fees and other defense costs as supplementary payments outside the Each Occurrence and Products-Completed Operations Aggregate limits. Those costs are not subject to the $100,000 deductible.</w:t>
      </w:r>
    </w:p>
    <w:p>
      <w:r>
        <w:rPr>
          <w:rFonts w:ascii="Calibri" w:hAnsi="Calibri"/>
          <w:b/>
          <w:color w:val="0B2545"/>
          <w:sz w:val="22"/>
        </w:rPr>
        <w:t xml:space="preserve">Independent counsel. </w:t>
      </w:r>
      <w:r>
        <w:rPr>
          <w:rFonts w:ascii="Calibri" w:hAnsi="Calibri"/>
          <w:color w:val="000000"/>
          <w:sz w:val="22"/>
        </w:rPr>
        <w:t>A reservation creates a potential conflict if defense counsel could shape facts—such as Ridgeline's subjective expectation, the cause/count of occurrences, or whether damages are remediation rather than direct property damage—in a way that determines coverage. Bruceton Bank supplies the broad defense standard, not a categorical California-style Cumis rule. Pinnacle should disclose the conflict analysis, permit Ridgeline to identify conflict concerns, and offer or fund independent West Virginia counsel if the reservation creates a material, non-waivable divergence in counsel's litigation incentives. At minimum, coverage counsel and merits counsel must remain separate.</w:t>
      </w:r>
    </w:p>
    <w:p>
      <w:pPr>
        <w:pStyle w:val="SourceCitation"/>
      </w:pPr>
      <w:r>
        <w:rPr>
          <w:rFonts w:ascii="Calibri" w:hAnsi="Calibri"/>
          <w:i/>
          <w:color w:val="666666"/>
          <w:sz w:val="18"/>
        </w:rPr>
        <w:t>Record: Complaint; Policy § I.A.1 and Supplementary Payments; Bruceton Bank, 199 W. Va. 548; West Virginia duty-to-defend principles.</w:t>
      </w:r>
    </w:p>
    <w:p>
      <w:pPr>
        <w:pStyle w:val="Heading1"/>
      </w:pPr>
      <w:r>
        <w:t>5. Coverage Issues</w:t>
      </w:r>
    </w:p>
    <w:p>
      <w:pPr>
        <w:pStyle w:val="Heading2"/>
      </w:pPr>
      <w:r>
        <w:t>5.1 Total Pollution Exclusion — CG 21 49</w:t>
      </w:r>
    </w:p>
    <w:p>
      <w:r>
        <w:rPr>
          <w:rFonts w:ascii="Calibri" w:hAnsi="Calibri"/>
          <w:b/>
          <w:color w:val="0B2545"/>
          <w:sz w:val="22"/>
        </w:rPr>
        <w:t xml:space="preserve">Text and application. </w:t>
      </w:r>
      <w:r>
        <w:rPr>
          <w:rFonts w:ascii="Calibri" w:hAnsi="Calibri"/>
          <w:color w:val="000000"/>
          <w:sz w:val="22"/>
        </w:rPr>
        <w:t>CG 21 49 replaces the standard pollution exclusion and bars bodily injury or property damage arising out of the actual, alleged, or threatened discharge, dispersal, seepage, migration, release, or escape of pollutants. PCE and TCE are hazardous chemicals and fall comfortably within the policy definition of pollutants. On its face, the endorsement gives Pinnacle a substantial indemnity defense to injury and cleanup damages arising from their release.</w:t>
      </w:r>
    </w:p>
    <w:p>
      <w:r>
        <w:rPr>
          <w:rFonts w:ascii="Calibri" w:hAnsi="Calibri"/>
          <w:b/>
          <w:color w:val="0B2545"/>
          <w:sz w:val="22"/>
        </w:rPr>
        <w:t xml:space="preserve">Pleading characterization. </w:t>
      </w:r>
      <w:r>
        <w:rPr>
          <w:rFonts w:ascii="Calibri" w:hAnsi="Calibri"/>
          <w:color w:val="000000"/>
          <w:sz w:val="22"/>
        </w:rPr>
        <w:t>The complaint deliberately characterizes the initiating event as a “catastrophic discharge of toxic industrial chemicals,” not as “pollution” or “contamination.” Labels do not control; the alleged facts do. Still, the wording supports Ridgeline's argument that this was a discrete industrial accident caused by a defective product, rather than traditional gradual environmental pollution. The worker-exposure claims are especially compatible with that product-accident characterization, while the soil/groundwater remediation allegations are closer to the exclusion's traditional core.</w:t>
      </w:r>
    </w:p>
    <w:p>
      <w:r>
        <w:rPr>
          <w:rFonts w:ascii="Calibri" w:hAnsi="Calibri"/>
          <w:b/>
          <w:color w:val="0B2545"/>
          <w:sz w:val="22"/>
        </w:rPr>
        <w:t xml:space="preserve">West Virginia authority. </w:t>
      </w:r>
      <w:r>
        <w:rPr>
          <w:rFonts w:ascii="Calibri" w:hAnsi="Calibri"/>
          <w:color w:val="000000"/>
          <w:sz w:val="22"/>
        </w:rPr>
        <w:t>Joy Technologies, Inc. v. Liberty Mutual Insurance Co., 187 W. Va. 742, 421 S.E.2d 493 (1992), addressed pollution-exclusion construction and regulatory representations in the products-liability context. Joy involved older “sudden and accidental” language and does not itself create a blanket industrial-accident exception to this total exclusion. It nevertheless counsels against treating the word “pollutant” as self-executing without analyzing the exclusion's text, history, insured's product risk, and the nature of the event. Many courts distinguish traditional environmental pollution from isolated industrial or product-related releases. On this record, CG 21 49 is a strong reservation but not a safe basis to decline the entire defense.</w:t>
      </w:r>
    </w:p>
    <w:p>
      <w:r>
        <w:rPr>
          <w:rFonts w:ascii="Calibri" w:hAnsi="Calibri"/>
          <w:b/>
          <w:color w:val="0B2545"/>
          <w:sz w:val="22"/>
        </w:rPr>
        <w:t xml:space="preserve">Position. </w:t>
      </w:r>
      <w:r>
        <w:rPr>
          <w:rFonts w:ascii="Calibri" w:hAnsi="Calibri"/>
          <w:color w:val="000000"/>
          <w:sz w:val="22"/>
        </w:rPr>
        <w:t>Reserve CG 21 49 as to all damages arising from PCE/TCE release and separately allocate (i) direct bodily injury from the sudden product failure, (ii) physical damage to Building C, (iii) hazardous-material decontamination, and (iv) soil/groundwater remediation. Do not concede that all four categories rise or fall together.</w:t>
      </w:r>
    </w:p>
    <w:p>
      <w:pPr>
        <w:pStyle w:val="SourceCitation"/>
      </w:pPr>
      <w:r>
        <w:rPr>
          <w:rFonts w:ascii="Calibri" w:hAnsi="Calibri"/>
          <w:i/>
          <w:color w:val="666666"/>
          <w:sz w:val="18"/>
        </w:rPr>
        <w:t>Record: CG 21 49; Policy § V definition of pollutants; Complaint ¶¶ 1, 4, 72–78, 153–158; Joy Technologies, 187 W. Va. 742.</w:t>
      </w:r>
    </w:p>
    <w:p>
      <w:pPr>
        <w:pStyle w:val="Heading2"/>
      </w:pPr>
      <w:r>
        <w:t>5.2 Known loss / loss in progress</w:t>
      </w:r>
    </w:p>
    <w:p>
      <w:r>
        <w:rPr>
          <w:rFonts w:ascii="Calibri" w:hAnsi="Calibri"/>
          <w:b/>
          <w:color w:val="0B2545"/>
          <w:sz w:val="22"/>
        </w:rPr>
        <w:t xml:space="preserve">Issue. </w:t>
      </w:r>
      <w:r>
        <w:rPr>
          <w:rFonts w:ascii="Calibri" w:hAnsi="Calibri"/>
          <w:color w:val="000000"/>
          <w:sz w:val="22"/>
        </w:rPr>
        <w:t>The doctrine prevents insurance for a loss the insured knew had already occurred or was substantially certain and in progress when coverage attached. The policy also contains prior-knowledge language directed to bodily injury or property damage known before the policy period.</w:t>
      </w:r>
    </w:p>
    <w:p>
      <w:r>
        <w:rPr>
          <w:rFonts w:ascii="Calibri" w:hAnsi="Calibri"/>
          <w:b/>
          <w:color w:val="0B2545"/>
          <w:sz w:val="22"/>
        </w:rPr>
        <w:t xml:space="preserve">Evidence. </w:t>
      </w:r>
      <w:r>
        <w:rPr>
          <w:rFonts w:ascii="Calibri" w:hAnsi="Calibri"/>
          <w:color w:val="000000"/>
          <w:sz w:val="22"/>
        </w:rPr>
        <w:t>The November 2022 Zanesville incident—serial 7400-2022-0201, same Model 7400, same post-ECN weld specification, and a $47,500 payment under prior Policy PCS-GL-2022-039621—shows notice of a prior product loss before this policy began. The January 22, 2024 Ogawa-to-Tanaka email adds post-inception awareness of “premature wear” complaints from two other customers.</w:t>
      </w:r>
    </w:p>
    <w:p>
      <w:r>
        <w:rPr>
          <w:rFonts w:ascii="Calibri" w:hAnsi="Calibri"/>
          <w:b/>
          <w:color w:val="0B2545"/>
          <w:sz w:val="22"/>
        </w:rPr>
        <w:t xml:space="preserve">Assessment. </w:t>
      </w:r>
      <w:r>
        <w:rPr>
          <w:rFonts w:ascii="Calibri" w:hAnsi="Calibri"/>
          <w:color w:val="000000"/>
          <w:sz w:val="22"/>
        </w:rPr>
        <w:t>Neither item presently proves that Ridgeline knew, before October 1, 2023, that bodily injury or property damage at Ellerby had occurred or that the March 2024 loss was substantially certain. The January 2024 email postdates policy inception. Both items may support underwriting, misrepresentation, expectation, and notice theories, but known-loss forfeiture requires a tighter connection between the insured's knowledge and this loss than the present record supplies. Reserve while investigating ECN approvals, failure analyses, customer complaints, and renewal submissions.</w:t>
      </w:r>
    </w:p>
    <w:p>
      <w:pPr>
        <w:pStyle w:val="SourceCitation"/>
      </w:pPr>
      <w:r>
        <w:rPr>
          <w:rFonts w:ascii="Calibri" w:hAnsi="Calibri"/>
          <w:i/>
          <w:color w:val="666666"/>
          <w:sz w:val="18"/>
        </w:rPr>
        <w:t>Record: Policy § I.A.1.b(3); Prior Claims Correspondence; Cromdale Report.</w:t>
      </w:r>
    </w:p>
    <w:p>
      <w:pPr>
        <w:pStyle w:val="Heading2"/>
      </w:pPr>
      <w:r>
        <w:t>5.3 Expected or intended injury</w:t>
      </w:r>
    </w:p>
    <w:p>
      <w:r>
        <w:rPr>
          <w:rFonts w:ascii="Calibri" w:hAnsi="Calibri"/>
          <w:b/>
          <w:color w:val="0B2545"/>
          <w:sz w:val="22"/>
        </w:rPr>
        <w:t xml:space="preserve">Policy standard. </w:t>
      </w:r>
      <w:r>
        <w:rPr>
          <w:rFonts w:ascii="Calibri" w:hAnsi="Calibri"/>
          <w:color w:val="000000"/>
          <w:sz w:val="22"/>
        </w:rPr>
        <w:t>Coverage A excludes bodily injury or property damage expected or intended from the standpoint of the insured. The focus is the insured's subjective expectation or intent regarding injury or damage, not merely whether injury was objectively foreseeable or Ridgeline was negligent, reckless, or should have known better.</w:t>
      </w:r>
    </w:p>
    <w:p>
      <w:r>
        <w:rPr>
          <w:rFonts w:ascii="Calibri" w:hAnsi="Calibri"/>
          <w:b/>
          <w:color w:val="0B2545"/>
          <w:sz w:val="22"/>
        </w:rPr>
        <w:t xml:space="preserve">Engineering language. </w:t>
      </w:r>
      <w:r>
        <w:rPr>
          <w:rFonts w:ascii="Calibri" w:hAnsi="Calibri"/>
          <w:color w:val="000000"/>
          <w:sz w:val="22"/>
        </w:rPr>
        <w:t>Cromdale's conclusion that the cascade was a “reasonably foreseeable consequence” of operating at rated pressure with the reduced weld depth is probative of notice and fault. Reasonable foreseeability, however, is a tort/engineering standard. Standing alone it does not establish that Ridgeline actually expected or intended the worker injuries, chemical burns, neurological harm, permanent lung damage, facility damage, or environmental damage.</w:t>
      </w:r>
    </w:p>
    <w:p>
      <w:r>
        <w:rPr>
          <w:rFonts w:ascii="Calibri" w:hAnsi="Calibri"/>
          <w:b/>
          <w:color w:val="0B2545"/>
          <w:sz w:val="22"/>
        </w:rPr>
        <w:t xml:space="preserve">Position. </w:t>
      </w:r>
      <w:r>
        <w:rPr>
          <w:rFonts w:ascii="Calibri" w:hAnsi="Calibri"/>
          <w:color w:val="000000"/>
          <w:sz w:val="22"/>
        </w:rPr>
        <w:t>Reserve the exclusion because ECN 2021-034, the Zanesville loss, and the January 2024 email may reveal stronger subjective-knowledge evidence. On the current record, foreseeability alone is insufficient to eliminate the potential for coverage or the defense duty.</w:t>
      </w:r>
    </w:p>
    <w:p>
      <w:pPr>
        <w:pStyle w:val="SourceCitation"/>
      </w:pPr>
      <w:r>
        <w:rPr>
          <w:rFonts w:ascii="Calibri" w:hAnsi="Calibri"/>
          <w:i/>
          <w:color w:val="666666"/>
          <w:sz w:val="18"/>
        </w:rPr>
        <w:t>Record: Policy Exclusion I.A.2.a; Cromdale Report §§ 1 and 9; Prior Claims Correspondence; Complaint ¶¶ 2, 72–78, 117, 165.</w:t>
      </w:r>
    </w:p>
    <w:p>
      <w:pPr>
        <w:pStyle w:val="Heading2"/>
      </w:pPr>
      <w:r>
        <w:t>5.4 Number of occurrences</w:t>
      </w:r>
    </w:p>
    <w:p>
      <w:r>
        <w:rPr>
          <w:rFonts w:ascii="Calibri" w:hAnsi="Calibri"/>
          <w:b/>
          <w:color w:val="0B2545"/>
          <w:sz w:val="22"/>
        </w:rPr>
        <w:t xml:space="preserve">Competing tests. </w:t>
      </w:r>
      <w:r>
        <w:rPr>
          <w:rFonts w:ascii="Calibri" w:hAnsi="Calibri"/>
          <w:color w:val="000000"/>
          <w:sz w:val="22"/>
        </w:rPr>
        <w:t>Under a cause-oriented approach, injuries traceable to one uninterrupted proximate cause ordinarily constitute one occurrence; an effect-oriented approach may count distinct failures, injuries, or damage events separately. The policy's occurrence definition—an accident including continuous or repeated exposure to substantially the same general harmful conditions—supports a cause-focused analysis.</w:t>
      </w:r>
    </w:p>
    <w:p>
      <w:r>
        <w:rPr>
          <w:rFonts w:ascii="Calibri" w:hAnsi="Calibri"/>
          <w:b/>
          <w:color w:val="0B2545"/>
          <w:sz w:val="22"/>
        </w:rPr>
        <w:t xml:space="preserve">One-occurrence view. </w:t>
      </w:r>
      <w:r>
        <w:rPr>
          <w:rFonts w:ascii="Calibri" w:hAnsi="Calibri"/>
          <w:color w:val="000000"/>
          <w:sz w:val="22"/>
        </w:rPr>
        <w:t>The better present view is one occurrence: failure of the first valve overloaded the remaining two in one integrated cascade on the same loop, at the same location, over about 47 minutes. One occurrence means one $5,000,000 Each Occurrence Limit and one $100,000 deductible.</w:t>
      </w:r>
    </w:p>
    <w:p>
      <w:r>
        <w:rPr>
          <w:rFonts w:ascii="Calibri" w:hAnsi="Calibri"/>
          <w:b/>
          <w:color w:val="0B2545"/>
          <w:sz w:val="22"/>
        </w:rPr>
        <w:t xml:space="preserve">Multiple-occurrence view. </w:t>
      </w:r>
      <w:r>
        <w:rPr>
          <w:rFonts w:ascii="Calibri" w:hAnsi="Calibri"/>
          <w:color w:val="000000"/>
          <w:sz w:val="22"/>
        </w:rPr>
        <w:t>A claimant may argue that each of three separately manufactured valves failed through its own fatigue process, producing three occurrences. If accepted, separate $5,000,000 per-occurrence limits could theoretically apply and the $100,000 deductible would multiply. The $5,000,000 Products-Completed Operations Aggregate nevertheless caps Pinnacle's total covered products-liability payments, so multiple per-occurrence limits do not expand the aggregate available for this claim.</w:t>
      </w:r>
    </w:p>
    <w:p>
      <w:pPr>
        <w:pStyle w:val="SourceCitation"/>
      </w:pPr>
      <w:r>
        <w:rPr>
          <w:rFonts w:ascii="Calibri" w:hAnsi="Calibri"/>
          <w:i/>
          <w:color w:val="666666"/>
          <w:sz w:val="18"/>
        </w:rPr>
        <w:t>Record: Policy §§ III and V; Deductible Condition; Cromdale Report §§ 1, 5–9; Tender Letter § IV.</w:t>
      </w:r>
    </w:p>
    <w:p>
      <w:pPr>
        <w:pStyle w:val="Heading2"/>
      </w:pPr>
      <w:r>
        <w:t>5.5 Products-completed operations</w:t>
      </w:r>
    </w:p>
    <w:p>
      <w:r>
        <w:rPr>
          <w:rFonts w:ascii="Calibri" w:hAnsi="Calibri"/>
          <w:b/>
          <w:color w:val="0B2545"/>
          <w:sz w:val="22"/>
        </w:rPr>
        <w:t xml:space="preserve">Classification. </w:t>
      </w:r>
      <w:r>
        <w:rPr>
          <w:rFonts w:ascii="Calibri" w:hAnsi="Calibri"/>
          <w:color w:val="000000"/>
          <w:sz w:val="22"/>
        </w:rPr>
        <w:t>The valves were manufactured in Akron, delivered to Ellerby, installed at Ellerby's facility, and in service after Ridgeline's product work was complete. The injuries and damage occurred away from Ridgeline's premises and arose out of Ridgeline's product. The claim therefore falls within the products-completed operations hazard, not premises/ongoing operations.</w:t>
      </w:r>
    </w:p>
    <w:p>
      <w:r>
        <w:rPr>
          <w:rFonts w:ascii="Calibri" w:hAnsi="Calibri"/>
          <w:b/>
          <w:color w:val="0B2545"/>
          <w:sz w:val="22"/>
        </w:rPr>
        <w:t xml:space="preserve">Controlling aggregate. </w:t>
      </w:r>
      <w:r>
        <w:rPr>
          <w:rFonts w:ascii="Calibri" w:hAnsi="Calibri"/>
          <w:color w:val="000000"/>
          <w:sz w:val="22"/>
        </w:rPr>
        <w:t>The applicable aggregate is the $5,000,000 Products-Completed Operations Aggregate. The separate $10,000,000 General Aggregate does not fund this products claim. Subject to coverage defenses, the $5 million products aggregate is Pinnacle's maximum total indemnity exposure regardless of claimant count, damage categories, or occurrence count.</w:t>
      </w:r>
    </w:p>
    <w:p>
      <w:pPr>
        <w:pStyle w:val="SourceCitation"/>
      </w:pPr>
      <w:r>
        <w:rPr>
          <w:rFonts w:ascii="Calibri" w:hAnsi="Calibri"/>
          <w:i/>
          <w:color w:val="666666"/>
          <w:sz w:val="18"/>
        </w:rPr>
        <w:t>Record: Policy Declarations; §§ III.2–3 and V.16; Complaint ¶¶ 38–78; Tender Letter § IV.</w:t>
      </w:r>
    </w:p>
    <w:p>
      <w:pPr>
        <w:pStyle w:val="Heading2"/>
      </w:pPr>
      <w:r>
        <w:t>5.6 Punitive damages — SP-212</w:t>
      </w:r>
    </w:p>
    <w:p>
      <w:r>
        <w:rPr>
          <w:rFonts w:ascii="Calibri" w:hAnsi="Calibri"/>
          <w:b/>
          <w:color w:val="0B2545"/>
          <w:sz w:val="22"/>
        </w:rPr>
        <w:t xml:space="preserve">Endorsement. </w:t>
      </w:r>
      <w:r>
        <w:rPr>
          <w:rFonts w:ascii="Calibri" w:hAnsi="Calibri"/>
          <w:color w:val="000000"/>
          <w:sz w:val="22"/>
        </w:rPr>
        <w:t>SP-212 excludes punitive or exemplary damages, but states that the exclusion “shall not apply” where those damages are insurable under the law of the most relevant jurisdiction. Because the action and occurrence are in West Virginia, insurability under West Virginia law controls the endorsement's carve-back.</w:t>
      </w:r>
    </w:p>
    <w:p>
      <w:r>
        <w:rPr>
          <w:rFonts w:ascii="Calibri" w:hAnsi="Calibri"/>
          <w:b/>
          <w:color w:val="0B2545"/>
          <w:sz w:val="22"/>
        </w:rPr>
        <w:t xml:space="preserve">West Virginia law. </w:t>
      </w:r>
      <w:r>
        <w:rPr>
          <w:rFonts w:ascii="Calibri" w:hAnsi="Calibri"/>
          <w:color w:val="000000"/>
          <w:sz w:val="22"/>
        </w:rPr>
        <w:t>Direct punitive damages for an insured's own purposeful misconduct present the strongest public-policy and expected-or-intended concerns; vicarious punitive liability for another person's conduct is analytically more amenable to insurance. Some authorities and coverage formulations therefore distinguish generally uninsurable direct intentional wrongdoing from potentially insurable vicarious liability. The controlling nuance is that Hensley v. Erie Insurance Co., 168 W. Va. 172, 283 S.E.2d 227 (1981), enforced coverage for punitive damages arising from gross, reckless, or wanton conduct under broad “all sums” language and rejected a categorical public-policy bar on those facts. Hensley therefore does not support a blanket statement that every direct punitive award is uninsurable; intentional conduct and the actual basis of the award remain critical.</w:t>
      </w:r>
    </w:p>
    <w:p>
      <w:r>
        <w:rPr>
          <w:rFonts w:ascii="Calibri" w:hAnsi="Calibri"/>
          <w:b/>
          <w:color w:val="0B2545"/>
          <w:sz w:val="22"/>
        </w:rPr>
        <w:t xml:space="preserve">Application. </w:t>
      </w:r>
      <w:r>
        <w:rPr>
          <w:rFonts w:ascii="Calibri" w:hAnsi="Calibri"/>
          <w:color w:val="000000"/>
          <w:sz w:val="22"/>
        </w:rPr>
        <w:t>The complaint seeks punitive damages against Ridgeline for its own alleged willful, wanton, and reckless decisions, not merely vicarious liability. Pinnacle should reserve SP-212, expected/intended injury, and public policy, while recognizing that the carve-back and Hensley may preserve coverage if the award rests on insurable gross or reckless conduct. The verdict form should distinguish direct from vicarious conduct and intentional from gross/reckless conduct.</w:t>
      </w:r>
    </w:p>
    <w:p>
      <w:pPr>
        <w:pStyle w:val="SourceCitation"/>
      </w:pPr>
      <w:r>
        <w:rPr>
          <w:rFonts w:ascii="Calibri" w:hAnsi="Calibri"/>
          <w:i/>
          <w:color w:val="666666"/>
          <w:sz w:val="18"/>
        </w:rPr>
        <w:t>Record: SP-212; Complaint ¶¶ 77–78, 99, 108, 117, 165; Hensley, 168 W. Va. 172.</w:t>
      </w:r>
    </w:p>
    <w:p>
      <w:pPr>
        <w:pStyle w:val="Heading2"/>
      </w:pPr>
      <w:r>
        <w:t>5.7 Waiver of subrogation — CG 24 04</w:t>
      </w:r>
    </w:p>
    <w:p>
      <w:r>
        <w:rPr>
          <w:rFonts w:ascii="Calibri" w:hAnsi="Calibri"/>
          <w:b/>
          <w:color w:val="0B2545"/>
          <w:sz w:val="22"/>
        </w:rPr>
        <w:t xml:space="preserve">Endorsement. </w:t>
      </w:r>
      <w:r>
        <w:rPr>
          <w:rFonts w:ascii="Calibri" w:hAnsi="Calibri"/>
          <w:color w:val="000000"/>
          <w:sz w:val="22"/>
        </w:rPr>
        <w:t>CG 24 04 names Ellerby Chemical Processing, LLC and waives Pinnacle's recovery rights for payments arising out of Ridgeline's product sold to Ellerby, to the extent required by the pre-occurrence written contract. Pinnacle therefore cannot pay Ridgeline's covered claim and then subrogate that payment against Ellerby within the waiver's scope.</w:t>
      </w:r>
    </w:p>
    <w:p>
      <w:r>
        <w:rPr>
          <w:rFonts w:ascii="Calibri" w:hAnsi="Calibri"/>
          <w:b/>
          <w:color w:val="0B2545"/>
          <w:sz w:val="22"/>
        </w:rPr>
        <w:t xml:space="preserve">Cross-claim interaction. </w:t>
      </w:r>
      <w:r>
        <w:rPr>
          <w:rFonts w:ascii="Calibri" w:hAnsi="Calibri"/>
          <w:color w:val="000000"/>
          <w:sz w:val="22"/>
        </w:rPr>
        <w:t>The waiver coexists awkwardly with Article 7, under which Ridgeline assumed Ellerby's third-party tort liability, and with Ellerby's own $6 million cross-claim. The waiver limits Pinnacle's recovery against Ellerby; it does not cancel Ridgeline's indemnity obligation to Ellerby, convert Ellerby into the Named Insured, enlarge limits, or automatically cover every element of Ellerby's cross-claim. Allocation must preserve the distinction among payments for Ridgeline's direct liability, assumed tort liability, Ellerby's own negligence, excluded pollution response, and purely economic loss.</w:t>
      </w:r>
    </w:p>
    <w:p>
      <w:pPr>
        <w:pStyle w:val="SourceCitation"/>
      </w:pPr>
      <w:r>
        <w:rPr>
          <w:rFonts w:ascii="Calibri" w:hAnsi="Calibri"/>
          <w:i/>
          <w:color w:val="666666"/>
          <w:sz w:val="18"/>
        </w:rPr>
        <w:t>Record: CG 24 04; Supply Agreement Arts. 7 and 12; Complaint cross-claim ¶¶ 142–160.</w:t>
      </w:r>
    </w:p>
    <w:p>
      <w:pPr>
        <w:pStyle w:val="Heading2"/>
      </w:pPr>
      <w:r>
        <w:t>5.8 Contractual liability and insured contract</w:t>
      </w:r>
    </w:p>
    <w:p>
      <w:r>
        <w:rPr>
          <w:rFonts w:ascii="Calibri" w:hAnsi="Calibri"/>
          <w:b/>
          <w:color w:val="0B2545"/>
          <w:sz w:val="22"/>
        </w:rPr>
        <w:t xml:space="preserve">Exclusion and exceptions. </w:t>
      </w:r>
      <w:r>
        <w:rPr>
          <w:rFonts w:ascii="Calibri" w:hAnsi="Calibri"/>
          <w:color w:val="000000"/>
          <w:sz w:val="22"/>
        </w:rPr>
        <w:t>Coverage A Exclusion b bars bodily injury or property damage for which Ridgeline must pay by reason of an assumed contractual obligation. It does not bar liability Ridgeline would have without the contract and restores coverage for liability assumed in an “insured contract.” The ISO definition includes the part of a contract under which the insured assumes another party's tort liability to a third person.</w:t>
      </w:r>
    </w:p>
    <w:p>
      <w:r>
        <w:rPr>
          <w:rFonts w:ascii="Calibri" w:hAnsi="Calibri"/>
          <w:b/>
          <w:color w:val="0B2545"/>
          <w:sz w:val="22"/>
        </w:rPr>
        <w:t xml:space="preserve">Article 7. </w:t>
      </w:r>
      <w:r>
        <w:rPr>
          <w:rFonts w:ascii="Calibri" w:hAnsi="Calibri"/>
          <w:color w:val="000000"/>
          <w:sz w:val="22"/>
        </w:rPr>
        <w:t>Article 7 requires Ridgeline to defend and indemnify Ellerby against third-party bodily injury and property-damage claims caused in whole or part by a defect in Ridgeline's products, including claims alleging Ellerby's own contributing negligence. That is a paradigmatic assumption of Ellerby's tort liability and likely qualifies as an insured contract, subject to the policy's other exclusions and limits. Ellerby's separate first-party property and lost-profit demands require distinct analysis and are not covered merely because they appear beside an insured-contract obligation.</w:t>
      </w:r>
    </w:p>
    <w:p>
      <w:r>
        <w:rPr>
          <w:rFonts w:ascii="Calibri" w:hAnsi="Calibri"/>
          <w:b/>
          <w:color w:val="0B2545"/>
          <w:sz w:val="22"/>
        </w:rPr>
        <w:t xml:space="preserve">Article 8 cap. </w:t>
      </w:r>
      <w:r>
        <w:rPr>
          <w:rFonts w:ascii="Calibri" w:hAnsi="Calibri"/>
          <w:color w:val="000000"/>
          <w:sz w:val="22"/>
        </w:rPr>
        <w:t>Ridgeline's aggregate Article 7 liability is capped at the greater of $2,000,000 or $496,800, the purchase price for the 62 Model 7400 valves; the greater amount is $2,000,000. That negotiated cap applies to contractual indemnity and defense-cost obligations under Article 7, subject to any Article 8 exception not included in the excerpt. It does not increase the policy limit and does not cap Ridgeline's independent liability to the workers.</w:t>
      </w:r>
    </w:p>
    <w:p>
      <w:pPr>
        <w:pStyle w:val="SourceCitation"/>
      </w:pPr>
      <w:r>
        <w:rPr>
          <w:rFonts w:ascii="Calibri" w:hAnsi="Calibri"/>
          <w:i/>
          <w:color w:val="666666"/>
          <w:sz w:val="18"/>
        </w:rPr>
        <w:t>Record: Policy Exclusion I.A.2.b and § V.9; Supply Agreement §§ 7.1–7.4, 8.1–8.3; Complaint ¶¶ 142–160.</w:t>
      </w:r>
    </w:p>
    <w:p>
      <w:pPr>
        <w:pStyle w:val="Heading2"/>
      </w:pPr>
      <w:r>
        <w:t>5.9 Product recall — SP-107</w:t>
      </w:r>
    </w:p>
    <w:p>
      <w:r>
        <w:rPr>
          <w:rFonts w:ascii="Calibri" w:hAnsi="Calibri"/>
          <w:b/>
          <w:color w:val="0B2545"/>
          <w:sz w:val="22"/>
        </w:rPr>
        <w:t xml:space="preserve">Scope. </w:t>
      </w:r>
      <w:r>
        <w:rPr>
          <w:rFonts w:ascii="Calibri" w:hAnsi="Calibri"/>
          <w:color w:val="000000"/>
          <w:sz w:val="22"/>
        </w:rPr>
        <w:t>SP-107 excludes loss, cost, or expense related to recall, withdrawal, inspection, repair, replacement, adjustment, removal, or disposal of Ridgeline's product because of a known or suspected defect. It applies whether the measure is voluntary or demanded by a regulator or customer. It does not erase coverage for bodily injury or property damage that already occurred before a recall was initiated.</w:t>
      </w:r>
    </w:p>
    <w:p>
      <w:r>
        <w:rPr>
          <w:rFonts w:ascii="Calibri" w:hAnsi="Calibri"/>
          <w:b/>
          <w:color w:val="0B2545"/>
          <w:sz w:val="22"/>
        </w:rPr>
        <w:t xml:space="preserve">Application. </w:t>
      </w:r>
      <w:r>
        <w:rPr>
          <w:rFonts w:ascii="Calibri" w:hAnsi="Calibri"/>
          <w:color w:val="000000"/>
          <w:sz w:val="22"/>
        </w:rPr>
        <w:t>Any program to locate, inspect, recall, repair, or replace the approximately 1,450 post-ECN Model 7400 valves at 38 sites is excluded. Pinnacle should require separate accounting for existing Dobson injury/damage, Ellerby cleanup, and prospective population-wide mitigation so excluded recall cost is not blended into a covered settlement.</w:t>
      </w:r>
    </w:p>
    <w:p>
      <w:pPr>
        <w:pStyle w:val="SourceCitation"/>
      </w:pPr>
      <w:r>
        <w:rPr>
          <w:rFonts w:ascii="Calibri" w:hAnsi="Calibri"/>
          <w:i/>
          <w:color w:val="666666"/>
          <w:sz w:val="18"/>
        </w:rPr>
        <w:t>Record: SP-107; Cromdale Report §§ 1, 8–9.</w:t>
      </w:r>
    </w:p>
    <w:p>
      <w:pPr>
        <w:pStyle w:val="Heading2"/>
      </w:pPr>
      <w:r>
        <w:t>5.10 Notice</w:t>
      </w:r>
    </w:p>
    <w:p>
      <w:r>
        <w:rPr>
          <w:rFonts w:ascii="Calibri" w:hAnsi="Calibri"/>
          <w:b/>
          <w:color w:val="0B2545"/>
          <w:sz w:val="22"/>
        </w:rPr>
        <w:t xml:space="preserve">Timing. </w:t>
      </w:r>
      <w:r>
        <w:rPr>
          <w:rFonts w:ascii="Calibri" w:hAnsi="Calibri"/>
          <w:color w:val="000000"/>
          <w:sz w:val="22"/>
        </w:rPr>
        <w:t>The policy requires notice “as soon as practicable.” Ridgeline tendered on May 6, 2024, approximately 53 days after the March 14 incident, seven days after the April 29 complaint, and about six days after service. The length is sufficient to reserve the issue but is not, without more, a conclusive forfeiture.</w:t>
      </w:r>
    </w:p>
    <w:p>
      <w:r>
        <w:rPr>
          <w:rFonts w:ascii="Calibri" w:hAnsi="Calibri"/>
          <w:b/>
          <w:color w:val="0B2545"/>
          <w:sz w:val="22"/>
        </w:rPr>
        <w:t xml:space="preserve">West Virginia prejudice rule. </w:t>
      </w:r>
      <w:r>
        <w:rPr>
          <w:rFonts w:ascii="Calibri" w:hAnsi="Calibri"/>
          <w:color w:val="000000"/>
          <w:sz w:val="22"/>
        </w:rPr>
        <w:t>Under Dairyland Insurance Co. v. Voshel, 189 W. Va. 121, 428 S.E.2d 542 (1993), the court considers the length of delay and the insured's explanation; when the explanation is reasonable, the insurer must demonstrate actual prejudice to its investigation or defense before late notice bars recovery. No actual prejudice is identified in the supplied record, and Pinnacle received the tender shortly after suit filing.</w:t>
      </w:r>
    </w:p>
    <w:p>
      <w:r>
        <w:rPr>
          <w:rFonts w:ascii="Calibri" w:hAnsi="Calibri"/>
          <w:b/>
          <w:color w:val="0B2545"/>
          <w:sz w:val="22"/>
        </w:rPr>
        <w:t xml:space="preserve">January email. </w:t>
      </w:r>
      <w:r>
        <w:rPr>
          <w:rFonts w:ascii="Calibri" w:hAnsi="Calibri"/>
          <w:color w:val="000000"/>
          <w:sz w:val="22"/>
        </w:rPr>
        <w:t>The January 22, 2024 Ogawa email may show earlier awareness of a product problem, but a report of “premature wear” at two other customers does not automatically constitute awareness of an occurrence at Ellerby that may result in this claim. Pinnacle should investigate what Ogawa and authorized notice personnel understood, whether a reasonable insured would have anticipated an Ellerby claim, and whether the delay impaired inspection, evidence preservation, settlement, or defense.</w:t>
      </w:r>
    </w:p>
    <w:p>
      <w:r>
        <w:rPr>
          <w:rFonts w:ascii="Calibri" w:hAnsi="Calibri"/>
          <w:b/>
          <w:color w:val="0B2545"/>
          <w:sz w:val="22"/>
        </w:rPr>
        <w:t xml:space="preserve">Position. </w:t>
      </w:r>
      <w:r>
        <w:rPr>
          <w:rFonts w:ascii="Calibri" w:hAnsi="Calibri"/>
          <w:color w:val="000000"/>
          <w:sz w:val="22"/>
        </w:rPr>
        <w:t>Reserve late notice in the initial letter, request an explanation and prejudice record, but do not deny defense on the current facts.</w:t>
      </w:r>
    </w:p>
    <w:p>
      <w:pPr>
        <w:pStyle w:val="SourceCitation"/>
      </w:pPr>
      <w:r>
        <w:rPr>
          <w:rFonts w:ascii="Calibri" w:hAnsi="Calibri"/>
          <w:i/>
          <w:color w:val="666666"/>
          <w:sz w:val="18"/>
        </w:rPr>
        <w:t>Record: Policy § II.D.2; Tender Letter dated May 6, 2024; Prior Claims Correspondence; Dairyland, 189 W. Va. 121.</w:t>
      </w:r>
    </w:p>
    <w:p>
      <w:pPr>
        <w:pStyle w:val="Heading1"/>
      </w:pPr>
      <w:r>
        <w:t>6. Duty to Indemnify and Allocation</w:t>
      </w:r>
    </w:p>
    <w:p>
      <w:r>
        <w:rPr>
          <w:rFonts w:ascii="Calibri" w:hAnsi="Calibri"/>
          <w:b/>
          <w:color w:val="0B2545"/>
          <w:sz w:val="22"/>
        </w:rPr>
        <w:t xml:space="preserve">Separate and narrower duty. </w:t>
      </w:r>
      <w:r>
        <w:rPr>
          <w:rFonts w:ascii="Calibri" w:hAnsi="Calibri"/>
          <w:color w:val="000000"/>
          <w:sz w:val="22"/>
        </w:rPr>
        <w:t>The duty to indemnify is distinct from and narrower than the duty to defend. It depends on the actual facts established through discovery, settlement, or trial—not merely potentially covered allegations. Pinnacle should not concede indemnity while material questions remain regarding pollution, subjective expectation, known loss, punitive-damages insurability, contractual allocation, and damage classification.</w:t>
      </w:r>
    </w:p>
    <w:p>
      <w:r>
        <w:rPr>
          <w:rFonts w:ascii="Calibri" w:hAnsi="Calibri"/>
          <w:b/>
          <w:color w:val="0B2545"/>
          <w:sz w:val="22"/>
        </w:rPr>
        <w:t xml:space="preserve">Allocation. </w:t>
      </w:r>
      <w:r>
        <w:rPr>
          <w:rFonts w:ascii="Calibri" w:hAnsi="Calibri"/>
          <w:color w:val="000000"/>
          <w:sz w:val="22"/>
        </w:rPr>
        <w:t>A settlement or verdict should separately identify worker bodily injury; physical damage to Building C; decontamination; soil/groundwater remediation; lost profits; recall/inspection expense; Ellerby's assumed third-party liability; Ellerby's direct first-party losses; punitive damages; interest; and defense fees. The coverage result may differ by category.</w:t>
      </w:r>
    </w:p>
    <w:p>
      <w:r>
        <w:rPr>
          <w:rFonts w:ascii="Calibri" w:hAnsi="Calibri"/>
          <w:b/>
          <w:color w:val="0B2545"/>
          <w:sz w:val="22"/>
        </w:rPr>
        <w:t xml:space="preserve">Limits and reserve. </w:t>
      </w:r>
      <w:r>
        <w:rPr>
          <w:rFonts w:ascii="Calibri" w:hAnsi="Calibri"/>
          <w:color w:val="000000"/>
          <w:sz w:val="22"/>
        </w:rPr>
        <w:t>Because pleaded compensatory damages exceed $24.5 million, Pinnacle should establish an indemnity reserve at the full $5,000,000 Products-Completed Operations Aggregate, subject to the policy's deductible accounting and coverage defenses. If Ridgeline's $100,000 reimbursement is collectible, Pinnacle's net funded damages may be $4,900,000, but the claim system should preserve the full gross-limit exposure and track defense expense separately outside limits.</w:t>
      </w:r>
    </w:p>
    <w:p>
      <w:pPr>
        <w:pStyle w:val="SourceCitation"/>
      </w:pPr>
      <w:r>
        <w:rPr>
          <w:rFonts w:ascii="Calibri" w:hAnsi="Calibri"/>
          <w:i/>
          <w:color w:val="666666"/>
          <w:sz w:val="18"/>
        </w:rPr>
        <w:t>Record: Policy §§ I, III and V; Deductible Condition; Complaint damages and prayer; complete coverage analysis above.</w:t>
      </w:r>
    </w:p>
    <w:p>
      <w:pPr>
        <w:pStyle w:val="Heading1"/>
      </w:pPr>
      <w:r>
        <w:t>7. Reservation of Rights</w:t>
      </w:r>
    </w:p>
    <w:p>
      <w:r>
        <w:rPr>
          <w:rFonts w:ascii="Calibri" w:hAnsi="Calibri"/>
          <w:b/>
          <w:color w:val="0B2545"/>
          <w:sz w:val="22"/>
        </w:rPr>
        <w:t xml:space="preserve">Recommended scope. </w:t>
      </w:r>
      <w:r>
        <w:rPr>
          <w:rFonts w:ascii="Calibri" w:hAnsi="Calibri"/>
          <w:color w:val="000000"/>
          <w:sz w:val="22"/>
        </w:rPr>
        <w:t>The reservation should quote, identify, and apply—not merely list—the following provisions and defenses:</w:t>
      </w:r>
    </w:p>
    <w:p>
      <w:pPr>
        <w:pStyle w:val="ListBullet"/>
      </w:pPr>
      <w:r>
        <w:rPr>
          <w:rFonts w:ascii="Calibri" w:hAnsi="Calibri"/>
          <w:color w:val="000000"/>
          <w:sz w:val="22"/>
        </w:rPr>
        <w:t>Coverage A insuring agreement, including occurrence, timing, bodily injury, property damage, and damages because of covered injury or damage;</w:t>
      </w:r>
    </w:p>
    <w:p>
      <w:pPr>
        <w:pStyle w:val="ListBullet"/>
      </w:pPr>
      <w:r>
        <w:rPr>
          <w:rFonts w:ascii="Calibri" w:hAnsi="Calibri"/>
          <w:color w:val="000000"/>
          <w:sz w:val="22"/>
        </w:rPr>
        <w:t>CG 21 49 Total Pollution Exclusion and the policy definition of pollutants;</w:t>
      </w:r>
    </w:p>
    <w:p>
      <w:pPr>
        <w:pStyle w:val="ListBullet"/>
      </w:pPr>
      <w:r>
        <w:rPr>
          <w:rFonts w:ascii="Calibri" w:hAnsi="Calibri"/>
          <w:color w:val="000000"/>
          <w:sz w:val="22"/>
        </w:rPr>
        <w:t>expected-or-intended injury and known-loss/loss-in-progress principles, including prior knowledge;</w:t>
      </w:r>
    </w:p>
    <w:p>
      <w:pPr>
        <w:pStyle w:val="ListBullet"/>
      </w:pPr>
      <w:r>
        <w:rPr>
          <w:rFonts w:ascii="Calibri" w:hAnsi="Calibri"/>
          <w:color w:val="000000"/>
          <w:sz w:val="22"/>
        </w:rPr>
        <w:t>one-versus-multiple occurrences, the $5 million Each Occurrence Limit, the $5 million Products-Completed Operations Aggregate, and one or multiple $100,000 deductibles;</w:t>
      </w:r>
    </w:p>
    <w:p>
      <w:pPr>
        <w:pStyle w:val="ListBullet"/>
      </w:pPr>
      <w:r>
        <w:rPr>
          <w:rFonts w:ascii="Calibri" w:hAnsi="Calibri"/>
          <w:color w:val="000000"/>
          <w:sz w:val="22"/>
        </w:rPr>
        <w:t>products-completed operations classification and the inapplicability of the $10 million General Aggregate to those damages;</w:t>
      </w:r>
    </w:p>
    <w:p>
      <w:pPr>
        <w:pStyle w:val="ListBullet"/>
      </w:pPr>
      <w:r>
        <w:rPr>
          <w:rFonts w:ascii="Calibri" w:hAnsi="Calibri"/>
          <w:color w:val="000000"/>
          <w:sz w:val="22"/>
        </w:rPr>
        <w:t>SP-212 punitive/exemplary damages, West Virginia insurability, and direct versus vicarious or intentional versus gross/reckless conduct;</w:t>
      </w:r>
    </w:p>
    <w:p>
      <w:pPr>
        <w:pStyle w:val="ListBullet"/>
      </w:pPr>
      <w:r>
        <w:rPr>
          <w:rFonts w:ascii="Calibri" w:hAnsi="Calibri"/>
          <w:color w:val="000000"/>
          <w:sz w:val="22"/>
        </w:rPr>
        <w:t>contractual-liability exclusion, insured-contract exception, Article 7 scope, Article 8's $2 million cap, and allocation of defense fees or direct losses;</w:t>
      </w:r>
    </w:p>
    <w:p>
      <w:pPr>
        <w:pStyle w:val="ListBullet"/>
      </w:pPr>
      <w:r>
        <w:rPr>
          <w:rFonts w:ascii="Calibri" w:hAnsi="Calibri"/>
          <w:color w:val="000000"/>
          <w:sz w:val="22"/>
        </w:rPr>
        <w:t>CG 24 04 waiver of transfer/recovery rights in favor of Ellerby;</w:t>
      </w:r>
    </w:p>
    <w:p>
      <w:pPr>
        <w:pStyle w:val="ListBullet"/>
      </w:pPr>
      <w:r>
        <w:rPr>
          <w:rFonts w:ascii="Calibri" w:hAnsi="Calibri"/>
          <w:color w:val="000000"/>
          <w:sz w:val="22"/>
        </w:rPr>
        <w:t>SP-107 product-recall exclusion and separation of already-occurring damage from prospective recall/inspection/replacement; and</w:t>
      </w:r>
    </w:p>
    <w:p>
      <w:pPr>
        <w:pStyle w:val="ListBullet"/>
      </w:pPr>
      <w:r>
        <w:rPr>
          <w:rFonts w:ascii="Calibri" w:hAnsi="Calibri"/>
          <w:color w:val="000000"/>
          <w:sz w:val="22"/>
        </w:rPr>
        <w:t>the “as soon as practicable” notice condition, May 6 tender, January 22 email, Ridgeline's explanation, and actual prejudice.</w:t>
      </w:r>
    </w:p>
    <w:p>
      <w:r>
        <w:rPr>
          <w:rFonts w:ascii="Calibri" w:hAnsi="Calibri"/>
          <w:b/>
          <w:color w:val="0B2545"/>
          <w:sz w:val="22"/>
        </w:rPr>
        <w:t xml:space="preserve">No waiver. </w:t>
      </w:r>
      <w:r>
        <w:rPr>
          <w:rFonts w:ascii="Calibri" w:hAnsi="Calibri"/>
          <w:color w:val="000000"/>
          <w:sz w:val="22"/>
        </w:rPr>
        <w:t>The letter should reserve the right to amend as facts develop, disclaim uncovered settlement components, seek allocation, enforce cooperation and consent conditions, pursue declaratory relief if necessary, and withdraw from the defense only if a court permits and no potentially covered claim remains. Pinnacle should avoid controlling defense decisions that could manufacture a coverage outcome.</w:t>
      </w:r>
    </w:p>
    <w:p>
      <w:pPr>
        <w:pStyle w:val="Heading1"/>
      </w:pPr>
      <w:r>
        <w:t>8. Recommended Actions</w:t>
      </w:r>
    </w:p>
    <w:p>
      <w:pPr>
        <w:pStyle w:val="ListNumber"/>
      </w:pPr>
      <w:r>
        <w:rPr>
          <w:rFonts w:ascii="Calibri" w:hAnsi="Calibri"/>
          <w:color w:val="000000"/>
          <w:sz w:val="22"/>
        </w:rPr>
        <w:t>Accept and provide Ridgeline's complete defense under a detailed reservation of rights; appoint qualified West Virginia merits counsel immediately and keep coverage counsel separate.</w:t>
      </w:r>
    </w:p>
    <w:p>
      <w:pPr>
        <w:pStyle w:val="ListNumber"/>
      </w:pPr>
      <w:r>
        <w:rPr>
          <w:rFonts w:ascii="Calibri" w:hAnsi="Calibri"/>
          <w:color w:val="000000"/>
          <w:sz w:val="22"/>
        </w:rPr>
        <w:t>Issue the reservation promptly, attaching or quoting the operative provisions and explaining each factual application, including CG 21 49, expected/intended injury, known loss, SP-212, SP-107, contractual liability, limits, deductibles, and late notice.</w:t>
      </w:r>
    </w:p>
    <w:p>
      <w:pPr>
        <w:pStyle w:val="ListNumber"/>
      </w:pPr>
      <w:r>
        <w:rPr>
          <w:rFonts w:ascii="Calibri" w:hAnsi="Calibri"/>
          <w:color w:val="000000"/>
          <w:sz w:val="22"/>
        </w:rPr>
        <w:t>Evaluate whether the reservation creates a material conflict requiring independent counsel. Invite Ridgeline's position and document the conflict analysis rather than relying on a generic Cumis label.</w:t>
      </w:r>
    </w:p>
    <w:p>
      <w:pPr>
        <w:pStyle w:val="ListNumber"/>
      </w:pPr>
      <w:r>
        <w:rPr>
          <w:rFonts w:ascii="Calibri" w:hAnsi="Calibri"/>
          <w:color w:val="000000"/>
          <w:sz w:val="22"/>
        </w:rPr>
        <w:t>Set the gross indemnity reserve at the $5 million Products-Completed Operations Aggregate, track the $100,000 damages-only deductible separately, and establish a separate defense-expense reserve because defense costs are outside limits.</w:t>
      </w:r>
    </w:p>
    <w:p>
      <w:pPr>
        <w:pStyle w:val="ListNumber"/>
      </w:pPr>
      <w:r>
        <w:rPr>
          <w:rFonts w:ascii="Calibri" w:hAnsi="Calibri"/>
          <w:color w:val="000000"/>
          <w:sz w:val="22"/>
        </w:rPr>
        <w:t>Obtain the complete ECN 2021-034 approval file, fatigue analyses, customer complaint logs, January 22 email chain, Zanesville claim file, renewal submissions, service records, operating data, and communications identifying what senior decision-makers actually expected.</w:t>
      </w:r>
    </w:p>
    <w:p>
      <w:pPr>
        <w:pStyle w:val="ListNumber"/>
      </w:pPr>
      <w:r>
        <w:rPr>
          <w:rFonts w:ascii="Calibri" w:hAnsi="Calibri"/>
          <w:color w:val="000000"/>
          <w:sz w:val="22"/>
        </w:rPr>
        <w:t>Retain coverage-oriented engineering support to map each injury/damage category to the initial valve event, continued release, remediation, and any later recall activity without directing the merits expert's opinions.</w:t>
      </w:r>
    </w:p>
    <w:p>
      <w:pPr>
        <w:pStyle w:val="ListNumber"/>
      </w:pPr>
      <w:r>
        <w:rPr>
          <w:rFonts w:ascii="Calibri" w:hAnsi="Calibri"/>
          <w:color w:val="000000"/>
          <w:sz w:val="22"/>
        </w:rPr>
        <w:t>Monitor the approximately 1,450 valves at 38 sites and insist on a separate recall ledger. Safety mitigation should proceed, but no coverage commitment should be inferred for excluded recall, inspection, repair, or replacement costs.</w:t>
      </w:r>
    </w:p>
    <w:p>
      <w:pPr>
        <w:pStyle w:val="ListNumber"/>
      </w:pPr>
      <w:r>
        <w:rPr>
          <w:rFonts w:ascii="Calibri" w:hAnsi="Calibri"/>
          <w:color w:val="000000"/>
          <w:sz w:val="22"/>
        </w:rPr>
        <w:t>Seek a special verdict and settlement allocation that separates compensatory from punitive damages; direct from vicarious conduct; intentional from gross/reckless conduct; bodily injury, direct property damage, remediation, lost profits, contractual indemnity, and recall expense.</w:t>
      </w:r>
    </w:p>
    <w:p>
      <w:pPr>
        <w:pStyle w:val="ListNumber"/>
      </w:pPr>
      <w:r>
        <w:rPr>
          <w:rFonts w:ascii="Calibri" w:hAnsi="Calibri"/>
          <w:color w:val="000000"/>
          <w:sz w:val="22"/>
        </w:rPr>
        <w:t>Protect against excess exposure by evaluating reasonable settlement opportunities within the $5 million products aggregate while preserving all rights and coordinating with Ridgeline regarding uninsured/excess exposure.</w:t>
      </w:r>
    </w:p>
    <w:p>
      <w:pPr>
        <w:pStyle w:val="Heading1"/>
      </w:pPr>
      <w:r>
        <w:t>9. Conclusion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EAF2F8"/>
          </w:tcPr>
          <w:p>
            <w:pPr>
              <w:spacing w:before="0" w:after="40" w:line="252" w:lineRule="auto"/>
              <w:jc w:val="left"/>
            </w:pPr>
            <w:r/>
            <w:r>
              <w:rPr>
                <w:rFonts w:ascii="Calibri" w:hAnsi="Calibri"/>
                <w:b w:val="0"/>
                <w:color w:val="000000"/>
                <w:sz w:val="20"/>
              </w:rPr>
            </w:r>
            <w:r>
              <w:rPr>
                <w:rFonts w:ascii="Calibri" w:hAnsi="Calibri"/>
                <w:b/>
                <w:color w:val="0B2545"/>
                <w:sz w:val="20"/>
              </w:rPr>
              <w:t xml:space="preserve">Bottom line. </w:t>
            </w:r>
            <w:r>
              <w:rPr>
                <w:rFonts w:ascii="Calibri" w:hAnsi="Calibri"/>
                <w:color w:val="000000"/>
                <w:sz w:val="20"/>
              </w:rPr>
              <w:t>Pinnacle presently owes Ridgeline a defense in Dobson under a reservation of rights. The March 14, 2024 occurrence falls within the policy period, and the complaint alleges potentially covered products-completed bodily injury and property damage. The $5 million Products-Completed Operations Aggregate controls indemnity, defense costs remain outside limits, and the $100,000 per-occurrence deductible applies only to damages. Final indemnity will turn on the actual release and damage facts, the pollution exclusion, Ridgeline's subjective knowledge, punitive-damages basis, contractual allocation, recall separation, notice/prejudice, and occurrence count.</w:t>
            </w:r>
          </w:p>
        </w:tc>
      </w:tr>
    </w:tbl>
    <w:p>
      <w:pPr>
        <w:spacing w:after="0"/>
      </w:pPr>
    </w:p>
    <w:p>
      <w:r>
        <w:rPr>
          <w:rFonts w:ascii="Calibri" w:hAnsi="Calibri"/>
          <w:b/>
          <w:color w:val="0B2545"/>
          <w:sz w:val="22"/>
        </w:rPr>
        <w:t xml:space="preserve">Opinion status. </w:t>
      </w:r>
      <w:r>
        <w:rPr>
          <w:rFonts w:ascii="Calibri" w:hAnsi="Calibri"/>
          <w:color w:val="000000"/>
          <w:sz w:val="22"/>
        </w:rPr>
        <w:t>Preliminary and subject to supplementation as the coverage investigation and underlying litigation develop.</w:t>
      </w:r>
    </w:p>
    <w:p>
      <w:pPr>
        <w:pStyle w:val="Heading1"/>
      </w:pPr>
      <w:r>
        <w:t>Source Index</w:t>
      </w:r>
    </w:p>
    <w:tbl>
      <w:tblPr>
        <w:tblStyle w:val="TableGrid"/>
        <w:tblW w:type="dxa" w:w="9360"/>
        <w:jc w:val="left"/>
        <w:tblLayout w:type="fixed"/>
        <w:tblLook w:firstColumn="1" w:firstRow="1" w:lastColumn="0" w:lastRow="0" w:noHBand="0" w:noVBand="1" w:val="04A0"/>
        <w:tblInd w:w="120" w:type="dxa"/>
      </w:tblPr>
      <w:tblGrid>
        <w:gridCol w:w="2880"/>
        <w:gridCol w:w="6480"/>
      </w:tblGrid>
      <w:tr>
        <w:trPr>
          <w:tblHeader w:val="true"/>
          <w:cantSplit w:val="true"/>
        </w:trPr>
        <w:tc>
          <w:tcPr>
            <w:tcW w:type="dxa" w:w="2880"/>
            <w:shd w:fill="F2F4F7"/>
            <w:tcMar>
              <w:top w:w="80" w:type="dxa"/>
              <w:bottom w:w="80" w:type="dxa"/>
              <w:start w:w="120" w:type="dxa"/>
              <w:end w:w="120" w:type="dxa"/>
            </w:tcMar>
            <w:vAlign w:val="center"/>
          </w:tcPr>
          <w:p>
            <w:pPr>
              <w:spacing w:before="0" w:after="40" w:line="252" w:lineRule="auto"/>
              <w:jc w:val="center"/>
            </w:pPr>
            <w:r/>
            <w:r>
              <w:rPr>
                <w:rFonts w:ascii="Calibri" w:hAnsi="Calibri"/>
                <w:b/>
                <w:color w:val="0B2545"/>
                <w:sz w:val="18"/>
              </w:rPr>
              <w:t>Source</w:t>
            </w:r>
          </w:p>
        </w:tc>
        <w:tc>
          <w:tcPr>
            <w:tcW w:type="dxa" w:w="6480"/>
            <w:shd w:fill="F2F4F7"/>
            <w:tcMar>
              <w:top w:w="80" w:type="dxa"/>
              <w:bottom w:w="80" w:type="dxa"/>
              <w:start w:w="120" w:type="dxa"/>
              <w:end w:w="120" w:type="dxa"/>
            </w:tcMar>
            <w:vAlign w:val="center"/>
          </w:tcPr>
          <w:p>
            <w:pPr>
              <w:spacing w:before="0" w:after="40" w:line="252" w:lineRule="auto"/>
              <w:jc w:val="center"/>
            </w:pPr>
            <w:r/>
            <w:r>
              <w:rPr>
                <w:rFonts w:ascii="Calibri" w:hAnsi="Calibri"/>
                <w:b/>
                <w:color w:val="0B2545"/>
                <w:sz w:val="18"/>
              </w:rPr>
              <w:t>Principal use</w:t>
            </w:r>
          </w:p>
        </w:tc>
      </w:tr>
      <w:tr>
        <w:trPr>
          <w:cantSplit w:val="true"/>
        </w:trPr>
        <w:tc>
          <w:tcPr>
            <w:tcW w:type="dxa" w:w="28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CGL Policy PCS-GL-2023-044817</w:t>
            </w:r>
          </w:p>
        </w:tc>
        <w:tc>
          <w:tcPr>
            <w:tcW w:type="dxa" w:w="64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Declarations; insuring agreement; exclusions; limits; conditions; definitions; CG 21 49; CG 24 04; SP-107; SP-212.</w:t>
            </w:r>
          </w:p>
        </w:tc>
      </w:tr>
      <w:tr>
        <w:trPr>
          <w:cantSplit w:val="true"/>
        </w:trPr>
        <w:tc>
          <w:tcPr>
            <w:tcW w:type="dxa" w:w="28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Underlying Complaint 24-C-1042</w:t>
            </w:r>
          </w:p>
        </w:tc>
        <w:tc>
          <w:tcPr>
            <w:tcW w:type="dxa" w:w="64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Incident allegations; 23 plaintiffs; six Ridgeline counts; Ellerby cross-claim; $24.5 million compensatory demand; punitive demand.</w:t>
            </w:r>
          </w:p>
        </w:tc>
      </w:tr>
      <w:tr>
        <w:trPr>
          <w:cantSplit w:val="true"/>
        </w:trPr>
        <w:tc>
          <w:tcPr>
            <w:tcW w:type="dxa" w:w="28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Ridgeline Tender Letter — May 6, 2024</w:t>
            </w:r>
          </w:p>
        </w:tc>
        <w:tc>
          <w:tcPr>
            <w:tcW w:type="dxa" w:w="64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Tender timing; insured's one-occurrence and products-completed positions; claimed defense and indemnity.</w:t>
            </w:r>
          </w:p>
        </w:tc>
      </w:tr>
      <w:tr>
        <w:trPr>
          <w:cantSplit w:val="true"/>
        </w:trPr>
        <w:tc>
          <w:tcPr>
            <w:tcW w:type="dxa" w:w="28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Cromdale Consulting Report — June 3, 2024</w:t>
            </w:r>
          </w:p>
        </w:tc>
        <w:tc>
          <w:tcPr>
            <w:tcW w:type="dxa" w:w="64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ECN 2021-034; 4.5 mm to 3.2 mm weld change; cascade mechanics; foreseeability wording; 1,450 valves at 38 sites.</w:t>
            </w:r>
          </w:p>
        </w:tc>
      </w:tr>
      <w:tr>
        <w:trPr>
          <w:cantSplit w:val="true"/>
        </w:trPr>
        <w:tc>
          <w:tcPr>
            <w:tcW w:type="dxa" w:w="28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Prior Claims Correspondence</w:t>
            </w:r>
          </w:p>
        </w:tc>
        <w:tc>
          <w:tcPr>
            <w:tcW w:type="dxa" w:w="64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January 22, 2024 Ogawa email; November 2022 Zanesville loss; serial 7400-2022-0201; $47,500 prior-policy payment.</w:t>
            </w:r>
          </w:p>
        </w:tc>
      </w:tr>
      <w:tr>
        <w:trPr>
          <w:cantSplit w:val="true"/>
        </w:trPr>
        <w:tc>
          <w:tcPr>
            <w:tcW w:type="dxa" w:w="28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Supply Agreement Excerpts</w:t>
            </w:r>
          </w:p>
        </w:tc>
        <w:tc>
          <w:tcPr>
            <w:tcW w:type="dxa" w:w="6480"/>
            <w:tcMar>
              <w:top w:w="80" w:type="dxa"/>
              <w:bottom w:w="80" w:type="dxa"/>
              <w:start w:w="120" w:type="dxa"/>
              <w:end w:w="120" w:type="dxa"/>
            </w:tcMar>
            <w:vAlign w:val="center"/>
          </w:tcPr>
          <w:p>
            <w:pPr>
              <w:spacing w:before="0" w:after="40" w:line="252" w:lineRule="auto"/>
              <w:jc w:val="left"/>
            </w:pPr>
            <w:r/>
            <w:r>
              <w:rPr>
                <w:rFonts w:ascii="Calibri" w:hAnsi="Calibri"/>
                <w:b w:val="0"/>
                <w:color w:val="000000"/>
                <w:sz w:val="17"/>
              </w:rPr>
              <w:t>Article 7 indemnity; Article 8 $2 million / $496,800 cap; Article 12 insurance and waiver requirements.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6666"/>
        <w:sz w:val="16"/>
      </w:rPr>
      <w:t xml:space="preserve">PINNACLE COVERAGE OPINION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6666"/>
        <w:sz w:val="16"/>
      </w:rPr>
      <w:t>PRIVILEGED &amp; CONFIDENTIAL  |  ATTORNEY–CLIENT COMMUNICATION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itation">
    <w:name w:val="Source Citation"/>
    <w:pPr>
      <w:spacing w:before="80" w:after="80"/>
    </w:pPr>
    <w:rPr>
      <w:rFonts w:ascii="Calibri" w:hAnsi="Calibri"/>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Coverage Opinion — Ridgeline Model 7400 Toxic-Tort Claim</dc:title>
  <dc:subject>Harvey Labs insurance coverage benchmark</dc:subject>
  <dc:creator>Coverage Counsel</dc:creator>
  <cp:keywords>CGL, coverage, toxic tort, pollution, products-completed operations</cp:keywords>
  <dc:description>generated by python-docx</dc:description>
  <cp:lastModifiedBy/>
  <cp:revision>1</cp:revision>
  <dcterms:created xsi:type="dcterms:W3CDTF">2013-12-23T23:15:00Z</dcterms:created>
  <dcterms:modified xsi:type="dcterms:W3CDTF">2013-12-23T23:15:00Z</dcterms:modified>
  <cp:category/>
</cp:coreProperties>
</file>