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Calibri" w:hAnsi="Calibri"/>
          <w:b/>
          <w:color w:val="9B1C1C"/>
          <w:sz w:val="20"/>
        </w:rPr>
        <w:t>PRIVILEGED AND CONFIDENTIAL</w:t>
      </w:r>
    </w:p>
    <w:p>
      <w:pPr>
        <w:spacing w:after="40"/>
      </w:pPr>
      <w:r>
        <w:rPr>
          <w:rFonts w:ascii="Calibri" w:hAnsi="Calibri"/>
          <w:b/>
          <w:color w:val="000000"/>
          <w:sz w:val="46"/>
        </w:rPr>
        <w:t>INVESTIGATION ISSUE MEMORANDUM</w:t>
      </w:r>
    </w:p>
    <w:p>
      <w:pPr>
        <w:spacing w:after="280"/>
      </w:pPr>
      <w:r>
        <w:rPr>
          <w:rFonts w:ascii="Calibri" w:hAnsi="Calibri"/>
          <w:color w:val="373737"/>
          <w:sz w:val="28"/>
        </w:rPr>
        <w:t>Marcus J. Ridley financial-transactions review</w:t>
      </w:r>
    </w:p>
    <w:p>
      <w:pPr>
        <w:spacing w:after="40" w:line="240" w:lineRule="auto"/>
      </w:pPr>
      <w:r>
        <w:rPr>
          <w:rFonts w:ascii="Calibri" w:hAnsi="Calibri"/>
          <w:b/>
        </w:rPr>
        <w:t xml:space="preserve">To: </w:t>
      </w:r>
      <w:r>
        <w:rPr>
          <w:rFonts w:ascii="Calibri" w:hAnsi="Calibri"/>
        </w:rPr>
        <w:t>Audit Committee of the Board of Directors, DataPulse Analytics, Inc.</w:t>
      </w:r>
    </w:p>
    <w:p>
      <w:pPr>
        <w:spacing w:after="40" w:line="240" w:lineRule="auto"/>
      </w:pPr>
      <w:r>
        <w:rPr>
          <w:rFonts w:ascii="Calibri" w:hAnsi="Calibri"/>
          <w:b/>
        </w:rPr>
        <w:t xml:space="preserve">From: </w:t>
      </w:r>
      <w:r>
        <w:rPr>
          <w:rFonts w:ascii="Calibri" w:hAnsi="Calibri"/>
        </w:rPr>
        <w:t>Whitfield &amp; Crane LLP</w:t>
      </w:r>
    </w:p>
    <w:p>
      <w:pPr>
        <w:spacing w:after="40" w:line="240" w:lineRule="auto"/>
      </w:pPr>
      <w:r>
        <w:rPr>
          <w:rFonts w:ascii="Calibri" w:hAnsi="Calibri"/>
          <w:b/>
        </w:rPr>
        <w:t xml:space="preserve">Date: </w:t>
      </w:r>
      <w:r>
        <w:rPr>
          <w:rFonts w:ascii="Calibri" w:hAnsi="Calibri"/>
        </w:rPr>
        <w:t>November 10, 2023</w:t>
      </w:r>
    </w:p>
    <w:p>
      <w:pPr>
        <w:spacing w:after="40" w:line="240" w:lineRule="auto"/>
      </w:pPr>
      <w:r>
        <w:rPr>
          <w:rFonts w:ascii="Calibri" w:hAnsi="Calibri"/>
          <w:b/>
        </w:rPr>
        <w:t xml:space="preserve">Re: </w:t>
      </w:r>
      <w:r>
        <w:rPr>
          <w:rFonts w:ascii="Calibri" w:hAnsi="Calibri"/>
        </w:rPr>
        <w:t>Preliminary findings, financial exposure, controls failures, and recommended next steps</w:t>
      </w:r>
    </w:p>
    <w:p>
      <w:pPr>
        <w:spacing w:after="40" w:line="240" w:lineRule="auto"/>
      </w:pPr>
      <w:r>
        <w:rPr>
          <w:rFonts w:ascii="Calibri" w:hAnsi="Calibri"/>
          <w:b/>
        </w:rPr>
        <w:t xml:space="preserve">Status: </w:t>
      </w:r>
      <w:r>
        <w:rPr>
          <w:rFonts w:ascii="Calibri" w:hAnsi="Calibri"/>
        </w:rPr>
        <w:t>Preliminary; further legal process and witness work required</w:t>
      </w:r>
    </w:p>
    <w:p>
      <w:pPr>
        <w:pStyle w:val="Heading1"/>
      </w:pPr>
      <w:r>
        <w:t>Executive Summary</w:t>
      </w: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shd w:fill="F4F6F9"/>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64" w:lineRule="auto"/>
            </w:pPr>
            <w:r>
              <w:rPr>
                <w:rFonts w:ascii="Calibri" w:hAnsi="Calibri"/>
                <w:b/>
                <w:color w:val="0B2545"/>
              </w:rPr>
              <w:t xml:space="preserve">Preliminary conclusion. </w:t>
            </w:r>
            <w:r>
              <w:rPr>
                <w:rFonts w:ascii="Calibri" w:hAnsi="Calibri"/>
              </w:rPr>
              <w:t>The current record supports a coordinated pattern of vendor kickbacks, self-dealing, accounting concealment, potential insider trading, potential foreign bribery, and repeated bypasses of DataPulse and joint-venture controls. The evidence is substantial but should be treated as preliminary pending preservation, interviews, third-party records, and a disclosure decision by the Audit Committee.</w:t>
            </w:r>
          </w:p>
        </w:tc>
      </w:tr>
    </w:tbl>
    <w:p>
      <w:pPr>
        <w:spacing w:after="40"/>
      </w:pPr>
    </w:p>
    <w:p>
      <w:pPr>
        <w:spacing w:before="0" w:after="120" w:line="264" w:lineRule="auto"/>
      </w:pPr>
      <w:r>
        <w:rPr>
          <w:rFonts w:ascii="Calibri" w:hAnsi="Calibri"/>
        </w:rPr>
        <w:t>The two identified kickback channels total approximately $519,450: $331,950 returned by Cerulean Data Solutions LLC to Ridley's Lone Star National Bank account ending -4471 and $187,500 routed by Pinnacle Edge Consulting Group Inc. to Ridgeview Holdings LLC in the Cayman Islands. The gross questioned vendor-payment base is $4.633 million in U.S.-dollar payments plus a £350,000 Albion contract. At the approximate conversion used in the Graystone report (£350,000 ≈ $430,000), the components total approximately $5.063 million. Graystone's narrative description of exposure as merely “exceeding $4.6 million” is directionally correct but does not reflect the full converted component sum.</w:t>
      </w:r>
    </w:p>
    <w:tbl>
      <w:tblPr>
        <w:tblW w:type="dxa" w:w="9360"/>
        <w:tblLayout w:type="fixed"/>
        <w:tblLook w:firstColumn="1" w:firstRow="1" w:lastColumn="0" w:lastRow="0" w:noHBand="0" w:noVBand="1" w:val="04A0"/>
        <w:tblInd w:w="120" w:type="dxa"/>
      </w:tblPr>
      <w:tblGrid>
        <w:gridCol w:w="1900"/>
        <w:gridCol w:w="1050"/>
        <w:gridCol w:w="2350"/>
        <w:gridCol w:w="4060"/>
      </w:tblGrid>
      <w:tr>
        <w:trPr>
          <w:trHeight w:hRule="atLeast"/>
          <w:tblHeader w:val="true"/>
        </w:trPr>
        <w:tc>
          <w:tcPr>
            <w:tcW w:type="dxa" w:w="19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Issue</w:t>
            </w:r>
          </w:p>
        </w:tc>
        <w:tc>
          <w:tcPr>
            <w:tcW w:type="dxa" w:w="105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Severity</w:t>
            </w:r>
          </w:p>
        </w:tc>
        <w:tc>
          <w:tcPr>
            <w:tcW w:type="dxa" w:w="235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Exposure / Indicator</w:t>
            </w:r>
          </w:p>
        </w:tc>
        <w:tc>
          <w:tcPr>
            <w:tcW w:type="dxa" w:w="406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Preliminary Characterization</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Cerulean vendor kickback</w:t>
            </w:r>
          </w:p>
        </w:tc>
        <w:tc>
          <w:tcPr>
            <w:tcW w:type="dxa" w:w="10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8"/>
              </w:rPr>
              <w:t>CRITICAL</w:t>
            </w:r>
          </w:p>
        </w:tc>
        <w:tc>
          <w:tcPr>
            <w:tcW w:type="dxa" w:w="23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$2.213M paid; $331,950 kickback</w:t>
            </w:r>
          </w:p>
        </w:tc>
        <w:tc>
          <w:tcPr>
            <w:tcW w:type="dxa" w:w="40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Breach of fiduciary duty; self-dealing; commercial bribery; records manipulation</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Pinnacle Edge / Ridgeview</w:t>
            </w:r>
          </w:p>
        </w:tc>
        <w:tc>
          <w:tcPr>
            <w:tcW w:type="dxa" w:w="10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8"/>
              </w:rPr>
              <w:t>CRITICAL</w:t>
            </w:r>
          </w:p>
        </w:tc>
        <w:tc>
          <w:tcPr>
            <w:tcW w:type="dxa" w:w="23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$1.310M paid; $187,500 offshore</w:t>
            </w:r>
          </w:p>
        </w:tc>
        <w:tc>
          <w:tcPr>
            <w:tcW w:type="dxa" w:w="40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Kickback; undisclosed conflict; possible laundering/tax/FBAR implications</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DPLS securities trade</w:t>
            </w:r>
          </w:p>
        </w:tc>
        <w:tc>
          <w:tcPr>
            <w:tcW w:type="dxa" w:w="10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8"/>
              </w:rPr>
              <w:t>HIGH</w:t>
            </w:r>
          </w:p>
        </w:tc>
        <w:tc>
          <w:tcPr>
            <w:tcW w:type="dxa" w:w="23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$336,000 purchase; ~$131,250 initial unrealized gain</w:t>
            </w:r>
          </w:p>
        </w:tc>
        <w:tc>
          <w:tcPr>
            <w:tcW w:type="dxa" w:w="40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Potential Exchange Act §10(b) / Rule 10b-5 insider trading</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PT Nusantara / Kominfo</w:t>
            </w:r>
          </w:p>
        </w:tc>
        <w:tc>
          <w:tcPr>
            <w:tcW w:type="dxa" w:w="10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8"/>
              </w:rPr>
              <w:t>CRITICAL</w:t>
            </w:r>
          </w:p>
        </w:tc>
        <w:tc>
          <w:tcPr>
            <w:tcW w:type="dxa" w:w="23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$1.110M paid</w:t>
            </w:r>
          </w:p>
        </w:tc>
        <w:tc>
          <w:tcPr>
            <w:tcW w:type="dxa" w:w="40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Potential FCPA anti-bribery, books-and-records, and internal-controls violations</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Albion / JV governance</w:t>
            </w:r>
          </w:p>
        </w:tc>
        <w:tc>
          <w:tcPr>
            <w:tcW w:type="dxa" w:w="10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8"/>
              </w:rPr>
              <w:t>HIGH</w:t>
            </w:r>
          </w:p>
        </w:tc>
        <w:tc>
          <w:tcPr>
            <w:tcW w:type="dxa" w:w="23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£350,000 contract; £175,000 confirmed paid</w:t>
            </w:r>
          </w:p>
        </w:tc>
        <w:tc>
          <w:tcPr>
            <w:tcW w:type="dxa" w:w="40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JV breach, related-party self-dealing, fiduciary-duty exposure</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Expense reports</w:t>
            </w:r>
          </w:p>
        </w:tc>
        <w:tc>
          <w:tcPr>
            <w:tcW w:type="dxa" w:w="10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8"/>
              </w:rPr>
              <w:t>HIGH</w:t>
            </w:r>
          </w:p>
        </w:tc>
        <w:tc>
          <w:tcPr>
            <w:tcW w:type="dxa" w:w="235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$14,200 birthday event plus false client pattern</w:t>
            </w:r>
          </w:p>
        </w:tc>
        <w:tc>
          <w:tcPr>
            <w:tcW w:type="dxa" w:w="40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Expense fraud; false books and records; self-approval failure</w:t>
            </w:r>
          </w:p>
        </w:tc>
      </w:tr>
    </w:tbl>
    <w:p>
      <w:pPr>
        <w:spacing w:after="40"/>
      </w:pPr>
    </w:p>
    <w:p>
      <w:pPr>
        <w:pStyle w:val="Heading1"/>
      </w:pPr>
      <w:r>
        <w:t>1. Scope and Evidentiary Method</w:t>
      </w:r>
    </w:p>
    <w:p>
      <w:pPr>
        <w:spacing w:before="0" w:after="120" w:line="264" w:lineRule="auto"/>
      </w:pPr>
      <w:r>
        <w:rPr>
          <w:rFonts w:ascii="Calibri" w:hAnsi="Calibri"/>
        </w:rPr>
        <w:t>This memorandum responds to the September 25, 2023 engagement of Whitfield &amp; Crane LLP by the Audit Committee. It synthesizes the whistleblower complaint and engagement scope; vendor ledgers and bank-transfer records; Ridley's brokerage and expense records; the Ridley-Hartono and Ridley-Yung email threads; the DataPulse Vendor Management and FCPA Compliance Policies; the Graystone background report; and the JV, Albion, and PT Nusantara records. Findings are framed as preliminary issue assessments, not final adjudications.</w:t>
      </w:r>
    </w:p>
    <w:p>
      <w:pPr>
        <w:spacing w:before="0" w:after="120" w:line="264" w:lineRule="auto"/>
      </w:pPr>
      <w:r>
        <w:rPr>
          <w:rFonts w:ascii="Calibri" w:hAnsi="Calibri"/>
        </w:rPr>
        <w:t>The evidentiary method is cross-document reconciliation. For example, the Cerulean AP ledger is reconciled to DataPulse bank payments and then to Cerulean-to-Ridley transfers; the Pinnacle Edge ledger is reconciled to offshore transfers and Graystone's Ridgeview linkage; the PT Nusantara payment file is matched to the Ridley-Hartono emails and DataPulse policy requirements; and the Albion engagement is matched to JV approval provisions and Companies House ownership records.</w:t>
      </w:r>
    </w:p>
    <w:p>
      <w:pPr>
        <w:pStyle w:val="SourceNote"/>
      </w:pPr>
      <w:r>
        <w:rPr>
          <w:rFonts w:ascii="Calibri" w:hAnsi="Calibri"/>
          <w:b/>
          <w:color w:val="5B6573"/>
          <w:sz w:val="18"/>
        </w:rPr>
        <w:t xml:space="preserve">Sources: </w:t>
      </w:r>
      <w:r>
        <w:rPr>
          <w:rFonts w:ascii="Calibri" w:hAnsi="Calibri"/>
          <w:i/>
          <w:color w:val="5B6573"/>
          <w:sz w:val="18"/>
        </w:rPr>
        <w:t>whistleblower-and-engagement.docx; cerulean-transaction-records.xlsx; pinnacle-edge-transaction-records.xlsx; ridley-brokerage-statements.xlsx; ridley-expense-reports.xlsx; ridley-email-chain.eml; datapulse-compliance-policies.docx; graystone-background-report.docx; jv-agreement-and-albion-records.docx; pt-nusantara-records.docx.</w:t>
      </w:r>
    </w:p>
    <w:p>
      <w:pPr>
        <w:pStyle w:val="Heading1"/>
      </w:pPr>
      <w:r>
        <w:t>2. Detailed Findings</w:t>
      </w:r>
    </w:p>
    <w:p>
      <w:pPr>
        <w:pStyle w:val="Heading2"/>
      </w:pPr>
      <w:r>
        <w:t>2.1 Cerulean Data Solutions: systematic 15% kickback and concealment</w:t>
      </w:r>
    </w:p>
    <w:p>
      <w:pPr>
        <w:spacing w:before="0" w:after="120" w:line="264" w:lineRule="auto"/>
      </w:pPr>
      <w:r>
        <w:rPr>
          <w:rFonts w:ascii="Calibri" w:hAnsi="Calibri"/>
        </w:rPr>
        <w:t>Mechanism and amount. DataPulse made 14 bank payments totaling $2,213,000 to Cerulean. Cerulean then made 14 transfers totaling $331,950 to “M. Ridley” at Lone Star National Bank account ending -4471. Every transfer equaled exactly 15.00% of the corresponding DataPulse payment and occurred five to eight business days later (6.3-day average). This regularity, timing, common account, and exact proportionality are consistent with a prearranged kickback rather than bona fide referral compensation.</w:t>
      </w:r>
    </w:p>
    <w:p>
      <w:pPr>
        <w:spacing w:before="0" w:after="120" w:line="264" w:lineRule="auto"/>
      </w:pPr>
      <w:r>
        <w:rPr>
          <w:rFonts w:ascii="Calibri" w:hAnsi="Calibri"/>
        </w:rPr>
        <w:t>Ghost invoices. The AP ledger contains 12 invoices totaling $2,101,000, while bank records contain 14 payments totaling $2,213,000. The two unmatched payments—$48,000 on July 18, 2022 and $64,000 on April 14, 2023—total $112,000. Both generated matching 15% transfers to Ridley. The two-payment discrepancy is a strong indicator of deliberate concealment or accounting manipulation and requires tracing of the payment-initiation and approval path.</w:t>
      </w:r>
    </w:p>
    <w:p>
      <w:pPr>
        <w:spacing w:before="0" w:after="120" w:line="264" w:lineRule="auto"/>
      </w:pPr>
      <w:r>
        <w:rPr>
          <w:rFonts w:ascii="Calibri" w:hAnsi="Calibri"/>
        </w:rPr>
        <w:t>Vendor legitimacy and personal connection. Cerulean was formed January 8, 2022, only 37 days before its February 14, 2022 MSA; it had no meaningful operating history, technical staff, or verified data-migration capability. Denise Yun-Chao, its sole member, was Karen Ridley's University of Texas college roommate and remains a close family friend. Ridley did not disclose that relationship. Despite more than $2.2 million in payments, only three reports totaling approximately 40 pages were located, and preliminary review indicates content substantially copied from publicly available whitepapers.</w:t>
      </w:r>
    </w:p>
    <w:p>
      <w:pPr>
        <w:spacing w:before="0" w:after="120" w:line="264" w:lineRule="auto"/>
      </w:pPr>
      <w:r>
        <w:rPr>
          <w:rFonts w:ascii="Calibri" w:hAnsi="Calibri"/>
        </w:rPr>
        <w:t>Escalation pattern and controls. Cerulean invoice amounts escalated from $87,500 in Q1 2022 to $275,000 in Q3 2023, with quarterly totals generally increasing. FY2022 spend was $626,000 through Q3; Q4 added $365,000, producing $991,000. The October 31 payment pushed cumulative ledger spend to $824,000, crossing the $750,000 threshold. Ridley nevertheless single-handedly approved every invoice. Sections 4.1 and 4.2 of the Vendor Management Policy require VP+CFO dual approval for contracts above $250,000 and subsequent payments after annual spend exceeds $750,000. CFO Patricia Yung was unaware of the vendor relationship.</w:t>
      </w:r>
    </w:p>
    <w:p>
      <w:pPr>
        <w:spacing w:before="0" w:after="120" w:line="264" w:lineRule="auto"/>
      </w:pPr>
      <w:r>
        <w:rPr>
          <w:rFonts w:ascii="Calibri" w:hAnsi="Calibri"/>
        </w:rPr>
        <w:t>Preliminary characterization. The arrangement supports potential breach of fiduciary duty, self-dealing, commercial bribery, fraud, and false-books-and-records theories. It also violates the policy's conflict-disclosure requirement and its annual performance-review requirement for vendors above $100,000; no annual performance review was found. Severity: CRITICAL.</w:t>
      </w:r>
    </w:p>
    <w:p>
      <w:pPr>
        <w:pStyle w:val="SourceNote"/>
      </w:pPr>
      <w:r>
        <w:rPr>
          <w:rFonts w:ascii="Calibri" w:hAnsi="Calibri"/>
          <w:b/>
          <w:color w:val="5B6573"/>
          <w:sz w:val="18"/>
        </w:rPr>
        <w:t xml:space="preserve">Sources: </w:t>
      </w:r>
      <w:r>
        <w:rPr>
          <w:rFonts w:ascii="Calibri" w:hAnsi="Calibri"/>
          <w:i/>
          <w:color w:val="5B6573"/>
          <w:sz w:val="18"/>
        </w:rPr>
        <w:t>cerulean-transaction-records.xlsx (AP Ledger, Bank Payments, and Cerulean Bank Transfers sheets); graystone-background-report.docx §§III.B, IV.A, VIII-IX; datapulse-compliance-policies.docx, Vendor Management Policy §§4.1-4.2, 5.1, 6.2; whistleblower-and-engagement.docx.</w:t>
      </w:r>
    </w:p>
    <w:p>
      <w:pPr>
        <w:pStyle w:val="Heading2"/>
      </w:pPr>
      <w:r>
        <w:t>2.2 Pinnacle Edge and Ridgeview Holdings: offshore kickback channel</w:t>
      </w:r>
    </w:p>
    <w:p>
      <w:pPr>
        <w:spacing w:before="0" w:after="120" w:line="264" w:lineRule="auto"/>
      </w:pPr>
      <w:r>
        <w:rPr>
          <w:rFonts w:ascii="Calibri" w:hAnsi="Calibri"/>
        </w:rPr>
        <w:t>Vendor payments and unsupported success fees. DataPulse paid Pinnacle Edge $1,310,000: 18 monthly retainers of $45,000 ($810,000) plus three success fees of $125,000, $175,000, and $200,000 ($500,000 total). The invoices referenced “Phase 1 market entry,” “Phase 2 client acquisition,” and “Phase 3 platform integration,” but no project plans, milestone definitions, certifications, or deliverables were located.</w:t>
      </w:r>
    </w:p>
    <w:p>
      <w:pPr>
        <w:spacing w:before="0" w:after="120" w:line="264" w:lineRule="auto"/>
      </w:pPr>
      <w:r>
        <w:rPr>
          <w:rFonts w:ascii="Calibri" w:hAnsi="Calibri"/>
        </w:rPr>
        <w:t>Ridley deflected Finance's July 17, 2023 inquiry regarding the $200,000 invoice by asserting that deliverables were “confidential competitive analyses provided directly to me” and promising a summary “when available.” He instructed that payment should not be delayed. The promised summary was never produced.</w:t>
      </w:r>
    </w:p>
    <w:p>
      <w:pPr>
        <w:spacing w:before="0" w:after="120" w:line="264" w:lineRule="auto"/>
      </w:pPr>
      <w:r>
        <w:rPr>
          <w:rFonts w:ascii="Calibri" w:hAnsi="Calibri"/>
        </w:rPr>
        <w:t>Offshore flow. Within seven to nine business days of the three success-fee payments, Pinnacle Edge transferred a fixed $62,500 each time to Ridgeview Holdings LLC at Caribbean Commerce Bank in the Cayman Islands. The three wires total $187,500, or 37.5% of the $500,000 success-fee pool. Ridgeview's registered-agent address matches Gwendolyn Hargrove, Ridley's personal estate-planning attorney, linking the offshore entity to Ridley and supporting a concealed-beneficial-interest inference.</w:t>
      </w:r>
    </w:p>
    <w:p>
      <w:pPr>
        <w:spacing w:before="0" w:after="120" w:line="264" w:lineRule="auto"/>
      </w:pPr>
      <w:r>
        <w:rPr>
          <w:rFonts w:ascii="Calibri" w:hAnsi="Calibri"/>
        </w:rPr>
        <w:t>Undisclosed relationship and approval bypass. Ridley and Pinnacle Edge CEO Jared Okonkwo were former colleagues at Vantage Point Systems and co-own a $1.2 million Cabo San Lucas vacation property purchased in November 2021 on a 50/50 basis. Ridley did not disclose either relationship. By the sixth monthly retainer, cumulative contract spend reached $270,000, exceeding the $250,000 dual-approval threshold; all 21 invoices remained solely approved by Ridley. No annual vendor performance review was located. Severity: CRITICAL.</w:t>
      </w:r>
    </w:p>
    <w:p>
      <w:pPr>
        <w:pStyle w:val="SourceNote"/>
      </w:pPr>
      <w:r>
        <w:rPr>
          <w:rFonts w:ascii="Calibri" w:hAnsi="Calibri"/>
          <w:b/>
          <w:color w:val="5B6573"/>
          <w:sz w:val="18"/>
        </w:rPr>
        <w:t xml:space="preserve">Sources: </w:t>
      </w:r>
      <w:r>
        <w:rPr>
          <w:rFonts w:ascii="Calibri" w:hAnsi="Calibri"/>
          <w:i/>
          <w:color w:val="5B6573"/>
          <w:sz w:val="18"/>
        </w:rPr>
        <w:t>pinnacle-edge-transaction-records.xlsx (AP Ledger and Offshore Transfer Records); ridley-email-chain.eml, DPLS-EMAIL-000146 through -000148; graystone-background-report.docx §§III.B, IV.B, V, VII-VIII; datapulse-compliance-policies.docx §§4.1, 5.1, 6.2.</w:t>
      </w:r>
    </w:p>
    <w:p>
      <w:pPr>
        <w:pStyle w:val="Heading2"/>
      </w:pPr>
      <w:r>
        <w:t>2.3 DataPulse securities trade before public announcement</w:t>
      </w:r>
    </w:p>
    <w:p>
      <w:pPr>
        <w:spacing w:before="0" w:after="120" w:line="264" w:lineRule="auto"/>
      </w:pPr>
      <w:r>
        <w:rPr>
          <w:rFonts w:ascii="Calibri" w:hAnsi="Calibri"/>
        </w:rPr>
        <w:t>On January 9, 2023, Ridley purchased 15,000 DPLS shares at $22.40 per share, investing $336,000. The purchase occurred four days before DataPulse publicly announced a major government analytics contract on January 13. At the January 13 closing price of $31.15, the position was worth $467,250, producing an initial unrealized gain of approximately $131,250 (15,000 × $8.75), a 39.06% increase. Later marks do not change the core event-study calculation tied to the announcement.</w:t>
      </w:r>
    </w:p>
    <w:p>
      <w:pPr>
        <w:spacing w:before="0" w:after="120" w:line="264" w:lineRule="auto"/>
      </w:pPr>
      <w:r>
        <w:rPr>
          <w:rFonts w:ascii="Calibri" w:hAnsi="Calibri"/>
        </w:rPr>
        <w:t>As Vice President of Business Development, Ridley likely had advance knowledge of the contract. If he traded while aware of material nonpublic information, the conduct may constitute securities fraud/insider trading under Section 10(b) of the Securities Exchange Act of 1934 and SEC Rule 10b-5. The investigation should establish when the award became probable/material, Ridley's actual knowledge, any preclearance or trading plan, and related communications. Severity: HIGH.</w:t>
      </w:r>
    </w:p>
    <w:p>
      <w:pPr>
        <w:pStyle w:val="SourceNote"/>
      </w:pPr>
      <w:r>
        <w:rPr>
          <w:rFonts w:ascii="Calibri" w:hAnsi="Calibri"/>
          <w:b/>
          <w:color w:val="5B6573"/>
          <w:sz w:val="18"/>
        </w:rPr>
        <w:t xml:space="preserve">Sources: </w:t>
      </w:r>
      <w:r>
        <w:rPr>
          <w:rFonts w:ascii="Calibri" w:hAnsi="Calibri"/>
          <w:i/>
          <w:color w:val="5B6573"/>
          <w:sz w:val="18"/>
        </w:rPr>
        <w:t>ridley-brokerage-statements.xlsx (Brokerage Account Activity); graystone-background-report.docx §III.B.</w:t>
      </w:r>
    </w:p>
    <w:p>
      <w:pPr>
        <w:pStyle w:val="Heading2"/>
      </w:pPr>
      <w:r>
        <w:t>2.4 PT Nusantara / Kominfo: potential FCPA violations</w:t>
      </w:r>
    </w:p>
    <w:p>
      <w:pPr>
        <w:spacing w:before="0" w:after="120" w:line="264" w:lineRule="auto"/>
      </w:pPr>
      <w:r>
        <w:rPr>
          <w:rFonts w:ascii="Calibri" w:hAnsi="Calibri"/>
        </w:rPr>
        <w:t>Payment and government nexus. DataPulse paid PT Nusantara Digital Solusi $1,110,000: a $150,000 wire on August 15, 2022 coded “Market Research — Southeast Asia” and a $960,000 success fee (8% of the $12 million Kominfo contract) paid April 10, 2023. PT Nusantara principal Bagus Hartono's brother-in-law, Eko Prasetyo, is a senior official in Kominfo's IT procurement division—the government unit involved in the opportunity. Hartono falsely answered “No” to government-affiliation and familial-relationship questions on the one-page diligence questionnaire.</w:t>
      </w:r>
    </w:p>
    <w:p>
      <w:pPr>
        <w:spacing w:before="0" w:after="120" w:line="264" w:lineRule="auto"/>
      </w:pPr>
      <w:r>
        <w:rPr>
          <w:rFonts w:ascii="Calibri" w:hAnsi="Calibri"/>
        </w:rPr>
        <w:t>Email-to-payment chain. On July 22, 2022, Ridley wrote that DataPulse needed to ensure “the right people at the Ministry see our proposal favorably.” On July 25, Hartono replied that he had “strong family connections in the Ministry” and requested an additional $150,000 outside the formal agreement for “facilitation.” Ridley agreed the same day to book the amount as “market research — Southeast Asia” under a different budget line “to keep things clean.” The resulting August 15 wire matches the amount and coded description. After the award, Ridley wrote that PT Nusantara's “facilitation made all the difference” and directed payment of the $960,000 success fee.</w:t>
      </w:r>
    </w:p>
    <w:p>
      <w:pPr>
        <w:spacing w:before="0" w:after="120" w:line="264" w:lineRule="auto"/>
      </w:pPr>
      <w:r>
        <w:rPr>
          <w:rFonts w:ascii="Calibri" w:hAnsi="Calibri"/>
        </w:rPr>
        <w:t>Anti-bribery and exception analysis. The $150,000 payment presents a potential FCPA anti-bribery violation under 15 U.S.C. §78dd-1 because it was intended to influence the award or retention of business through a foreign-government nexus. The FCPA's narrow facilitating-payment exception does not apply: influencing the award of a discretionary $12 million contract is not a routine, non-discretionary governmental action. DataPulse policy independently prohibits facilitation payments without exception.</w:t>
      </w:r>
    </w:p>
    <w:p>
      <w:pPr>
        <w:spacing w:before="0" w:after="120" w:line="264" w:lineRule="auto"/>
      </w:pPr>
      <w:r>
        <w:rPr>
          <w:rFonts w:ascii="Calibri" w:hAnsi="Calibri"/>
        </w:rPr>
        <w:t>Accounting and controls provisions. The misleading “market research” code implicates the FCPA issuer books-and-records and internal-accounting-controls provisions, 15 U.S.C. §78m(b)(2)(A)-(B), as well as the company policy against misleading descriptions. DataPulse's 2018 FCPA Policy requires prior written General Counsel sign-off for any foreign agent/intermediary and documented enhanced due diligence. Ridley executed the engagement without Legal; the file contains only a one-page self-report, with no independent background, sanctions, beneficial-owner, government-affiliation, or media review. General Counsel Theodore Marsden was unaware of the relationship.</w:t>
      </w:r>
    </w:p>
    <w:p>
      <w:pPr>
        <w:spacing w:before="0" w:after="120" w:line="264" w:lineRule="auto"/>
      </w:pPr>
      <w:r>
        <w:rPr>
          <w:rFonts w:ascii="Calibri" w:hAnsi="Calibri"/>
        </w:rPr>
        <w:t>The $960,000 success fee also requires FCPA scrutiny. Given the improper-email trail, false diligence response, size of the contingent fee, and government-relative connection, the investigation must determine whether some or all of that amount was passed through to Prasetyo or other officials. Severity: CRITICAL.</w:t>
      </w:r>
    </w:p>
    <w:p>
      <w:pPr>
        <w:pStyle w:val="SourceNote"/>
      </w:pPr>
      <w:r>
        <w:rPr>
          <w:rFonts w:ascii="Calibri" w:hAnsi="Calibri"/>
          <w:b/>
          <w:color w:val="5B6573"/>
          <w:sz w:val="18"/>
        </w:rPr>
        <w:t xml:space="preserve">Sources: </w:t>
      </w:r>
      <w:r>
        <w:rPr>
          <w:rFonts w:ascii="Calibri" w:hAnsi="Calibri"/>
          <w:i/>
          <w:color w:val="5B6573"/>
          <w:sz w:val="18"/>
        </w:rPr>
        <w:t>pt-nusantara-records.docx §§2-6; ridley-email-chain.eml, DPLS-EMAIL-000142 through -000145; graystone-background-report.docx §§IV.C, VIII-IX; datapulse-compliance-policies.docx, FCPA Policy §§3.2-3.4, 4.1-4.2, 5.1-5.3, 6.1-6.3.</w:t>
      </w:r>
    </w:p>
    <w:p>
      <w:pPr>
        <w:pStyle w:val="Heading2"/>
      </w:pPr>
      <w:r>
        <w:t>2.5 Albion Strategic Partners: unauthorized related-party JV expenditure</w:t>
      </w:r>
    </w:p>
    <w:p>
      <w:pPr>
        <w:spacing w:before="0" w:after="120" w:line="264" w:lineRule="auto"/>
      </w:pPr>
      <w:r>
        <w:rPr>
          <w:rFonts w:ascii="Calibri" w:hAnsi="Calibri"/>
        </w:rPr>
        <w:t>Ridley approved a £350,000 Albion Strategic Partners LLP contract from the DataPulse-Quanta Europe operating account without the unanimous written consent required by JV Agreement §7.3 for expenditures above £200,000. The contract also triggered §§7.1(c) and 7.1(f) as a consultant engagement above £200,000 and a related-party transaction. Only £175,000 is presently confirmed paid; the remaining £175,000 must be verified.</w:t>
      </w:r>
    </w:p>
    <w:p>
      <w:pPr>
        <w:spacing w:before="0" w:after="120" w:line="264" w:lineRule="auto"/>
      </w:pPr>
      <w:r>
        <w:rPr>
          <w:rFonts w:ascii="Calibri" w:hAnsi="Calibri"/>
        </w:rPr>
        <w:t>Companies House records show that Oliver Farnsworth—QuantaBridge's Managing Director and its appointed JV director—is Albion's sole designated member. Albion was incorporated October 1, 2022, only 38 days before the November 8 contract, and uses QuantaBridge's address. No Albion deliverables were located. QuantaBridge's failure to object to the unauthorized expenditure is itself suspicious because Farnsworth was its governance representative and the payment beneficiary. The evidence supports preliminary self-dealing/collusion and fiduciary-duty concerns involving Ridley and Farnsworth. Severity: HIGH.</w:t>
      </w:r>
    </w:p>
    <w:p>
      <w:pPr>
        <w:pStyle w:val="SourceNote"/>
      </w:pPr>
      <w:r>
        <w:rPr>
          <w:rFonts w:ascii="Calibri" w:hAnsi="Calibri"/>
          <w:b/>
          <w:color w:val="5B6573"/>
          <w:sz w:val="18"/>
        </w:rPr>
        <w:t xml:space="preserve">Sources: </w:t>
      </w:r>
      <w:r>
        <w:rPr>
          <w:rFonts w:ascii="Calibri" w:hAnsi="Calibri"/>
          <w:i/>
          <w:color w:val="5B6573"/>
          <w:sz w:val="18"/>
        </w:rPr>
        <w:t>jv-agreement-and-albion-records.docx, JV Agreement §§7.1-7.5 and 9.3-9.4, Albion Engagement, Companies House extract, and investigation annotations; graystone-background-report.docx §§VI-VII, IX.</w:t>
      </w:r>
    </w:p>
    <w:p>
      <w:pPr>
        <w:pStyle w:val="Heading2"/>
      </w:pPr>
      <w:r>
        <w:t>2.6 Expense-report fraud and fictitious client pattern</w:t>
      </w:r>
    </w:p>
    <w:p>
      <w:pPr>
        <w:spacing w:before="0" w:after="120" w:line="264" w:lineRule="auto"/>
      </w:pPr>
      <w:r>
        <w:rPr>
          <w:rFonts w:ascii="Calibri" w:hAnsi="Calibri"/>
        </w:rPr>
        <w:t>Ridley's FY2022-FY2023 expense records name 23 “prospective clients”; seven (approximately 30%) do not appear in DataPulse's CRM. At least three of the non-CRM names match Ridley or Karen Ridley's personal social-media contacts, including college friends and family connections. The pattern supports intentional use of personal contacts to create facially plausible business descriptions.</w:t>
      </w:r>
    </w:p>
    <w:p>
      <w:pPr>
        <w:spacing w:before="0" w:after="120" w:line="264" w:lineRule="auto"/>
      </w:pPr>
      <w:r>
        <w:rPr>
          <w:rFonts w:ascii="Calibri" w:hAnsi="Calibri"/>
        </w:rPr>
        <w:t>The clearest item is a $14,200 charge on June 3, 2023 described as “client dinner — Austin Country Club.” Club and membership records tie the charge to Ridley's personal 45th birthday party at the same venue and date. Ridley self-approved the expense and listed no individual prospective clients. This supports expense fraud, false-record, and control-bypass findings. Severity: HIGH.</w:t>
      </w:r>
    </w:p>
    <w:p>
      <w:pPr>
        <w:pStyle w:val="SourceNote"/>
      </w:pPr>
      <w:r>
        <w:rPr>
          <w:rFonts w:ascii="Calibri" w:hAnsi="Calibri"/>
          <w:b/>
          <w:color w:val="5B6573"/>
          <w:sz w:val="18"/>
        </w:rPr>
        <w:t xml:space="preserve">Sources: </w:t>
      </w:r>
      <w:r>
        <w:rPr>
          <w:rFonts w:ascii="Calibri" w:hAnsi="Calibri"/>
          <w:i/>
          <w:color w:val="5B6573"/>
          <w:sz w:val="18"/>
        </w:rPr>
        <w:t>ridley-expense-reports.xlsx (FY2022 and FY2023 Expense Reports); graystone-background-report.docx, source and relationship analysis.</w:t>
      </w:r>
    </w:p>
    <w:p>
      <w:pPr>
        <w:pStyle w:val="Heading1"/>
      </w:pPr>
      <w:r>
        <w:t>3. Cross-Cutting Controls Failures</w:t>
      </w:r>
    </w:p>
    <w:tbl>
      <w:tblPr>
        <w:tblW w:type="dxa" w:w="9360"/>
        <w:tblLayout w:type="fixed"/>
        <w:tblLook w:firstColumn="1" w:firstRow="1" w:lastColumn="0" w:lastRow="0" w:noHBand="0" w:noVBand="1" w:val="04A0"/>
        <w:tblInd w:w="120" w:type="dxa"/>
      </w:tblPr>
      <w:tblGrid>
        <w:gridCol w:w="1700"/>
        <w:gridCol w:w="1900"/>
        <w:gridCol w:w="5760"/>
      </w:tblGrid>
      <w:tr>
        <w:trPr>
          <w:trHeight w:hRule="atLeast"/>
          <w:tblHeader w:val="true"/>
        </w:trPr>
        <w:tc>
          <w:tcPr>
            <w:tcW w:type="dxa" w:w="17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Control</w:t>
            </w:r>
          </w:p>
        </w:tc>
        <w:tc>
          <w:tcPr>
            <w:tcW w:type="dxa" w:w="19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Affected Matter</w:t>
            </w:r>
          </w:p>
        </w:tc>
        <w:tc>
          <w:tcPr>
            <w:tcW w:type="dxa" w:w="576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Observed Failure</w:t>
            </w:r>
          </w:p>
        </w:tc>
      </w:tr>
      <w:tr>
        <w:trPr>
          <w:trHeight w:hRule="atLeast"/>
        </w:trPr>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Dual approval</w:t>
            </w:r>
          </w:p>
        </w:tc>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Cerulean and Pinnacle Edge</w:t>
            </w:r>
          </w:p>
        </w:tc>
        <w:tc>
          <w:tcPr>
            <w:tcW w:type="dxa" w:w="57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Cerulean exceeded $750K annual spend in Q4 2022; Pinnacle exceeded $250K by month six. Ridley remained sole approver.</w:t>
            </w:r>
          </w:p>
        </w:tc>
      </w:tr>
      <w:tr>
        <w:trPr>
          <w:trHeight w:hRule="atLeast"/>
        </w:trPr>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Conflict disclosure / recusal</w:t>
            </w:r>
          </w:p>
        </w:tc>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Cerulean and Pinnacle Edge</w:t>
            </w:r>
          </w:p>
        </w:tc>
        <w:tc>
          <w:tcPr>
            <w:tcW w:type="dxa" w:w="57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Ridley failed to disclose Yun-Chao/Karen roommate relationship, Okonkwo co-employment, and shared Cabo property; no recusal occurred.</w:t>
            </w:r>
          </w:p>
        </w:tc>
      </w:tr>
      <w:tr>
        <w:trPr>
          <w:trHeight w:hRule="atLeast"/>
        </w:trPr>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Vendor performance review</w:t>
            </w:r>
          </w:p>
        </w:tc>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Cerulean and Pinnacle Edge</w:t>
            </w:r>
          </w:p>
        </w:tc>
        <w:tc>
          <w:tcPr>
            <w:tcW w:type="dxa" w:w="57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Policy requires annual review above $100K; none located despite $2.213M and $1.310M spend.</w:t>
            </w:r>
          </w:p>
        </w:tc>
      </w:tr>
      <w:tr>
        <w:trPr>
          <w:trHeight w:hRule="atLeast"/>
        </w:trPr>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Invoice / bank reconciliation</w:t>
            </w:r>
          </w:p>
        </w:tc>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Cerulean</w:t>
            </w:r>
          </w:p>
        </w:tc>
        <w:tc>
          <w:tcPr>
            <w:tcW w:type="dxa" w:w="57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Two bank payments totaling $112K lacked AP ledger entries; each generated a matching 15% kickback.</w:t>
            </w:r>
          </w:p>
        </w:tc>
      </w:tr>
      <w:tr>
        <w:trPr>
          <w:trHeight w:hRule="atLeast"/>
        </w:trPr>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Foreign intermediary diligence</w:t>
            </w:r>
          </w:p>
        </w:tc>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PT Nusantara</w:t>
            </w:r>
          </w:p>
        </w:tc>
        <w:tc>
          <w:tcPr>
            <w:tcW w:type="dxa" w:w="57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No GC sign-off; only one-page self-report; false government-affiliation responses went untested.</w:t>
            </w:r>
          </w:p>
        </w:tc>
      </w:tr>
      <w:tr>
        <w:trPr>
          <w:trHeight w:hRule="atLeast"/>
        </w:trPr>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Books and records</w:t>
            </w:r>
          </w:p>
        </w:tc>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PT Nusantara / expenses</w:t>
            </w:r>
          </w:p>
        </w:tc>
        <w:tc>
          <w:tcPr>
            <w:tcW w:type="dxa" w:w="57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$150K coded as market research despite facilitation purpose; $14.2K birthday party coded as client entertainment.</w:t>
            </w:r>
          </w:p>
        </w:tc>
      </w:tr>
      <w:tr>
        <w:trPr>
          <w:trHeight w:hRule="atLeast"/>
        </w:trPr>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JV reserved matters</w:t>
            </w:r>
          </w:p>
        </w:tc>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Albion</w:t>
            </w:r>
          </w:p>
        </w:tc>
        <w:tc>
          <w:tcPr>
            <w:tcW w:type="dxa" w:w="57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No unanimous consent, conflict disclosure, circulated proposal, or disinterested approval for £350K related-party contract.</w:t>
            </w:r>
          </w:p>
        </w:tc>
      </w:tr>
    </w:tbl>
    <w:p>
      <w:pPr>
        <w:spacing w:after="40"/>
      </w:pPr>
    </w:p>
    <w:p>
      <w:pPr>
        <w:spacing w:before="0" w:after="120" w:line="264" w:lineRule="auto"/>
      </w:pPr>
      <w:r>
        <w:rPr>
          <w:rFonts w:ascii="Calibri" w:hAnsi="Calibri"/>
        </w:rPr>
        <w:t>Taken together, these failures indicate more than isolated override. Ridley repeatedly exploited self-approval, weak cumulative-spend monitoring, incomplete vendor due diligence, poor reconciliation, and deference to “confidential” deliverables. Remediation should therefore address system design and independent monitoring in addition to individual discipline.</w:t>
      </w:r>
    </w:p>
    <w:p>
      <w:pPr>
        <w:pStyle w:val="Heading1"/>
      </w:pPr>
      <w:r>
        <w:t>4. Financial Exposure and Related Personal Liability</w:t>
      </w:r>
    </w:p>
    <w:tbl>
      <w:tblPr>
        <w:tblW w:type="dxa" w:w="9360"/>
        <w:tblLayout w:type="fixed"/>
        <w:tblLook w:firstColumn="1" w:firstRow="1" w:lastColumn="0" w:lastRow="0" w:noHBand="0" w:noVBand="1" w:val="04A0"/>
        <w:tblInd w:w="120" w:type="dxa"/>
      </w:tblPr>
      <w:tblGrid>
        <w:gridCol w:w="1900"/>
        <w:gridCol w:w="2100"/>
        <w:gridCol w:w="1700"/>
        <w:gridCol w:w="3660"/>
      </w:tblGrid>
      <w:tr>
        <w:trPr>
          <w:trHeight w:hRule="atLeast"/>
          <w:tblHeader w:val="true"/>
        </w:trPr>
        <w:tc>
          <w:tcPr>
            <w:tcW w:type="dxa" w:w="19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Category</w:t>
            </w:r>
          </w:p>
        </w:tc>
        <w:tc>
          <w:tcPr>
            <w:tcW w:type="dxa" w:w="21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Questioned Payments / Contract</w:t>
            </w:r>
          </w:p>
        </w:tc>
        <w:tc>
          <w:tcPr>
            <w:tcW w:type="dxa" w:w="17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Identified Kickback</w:t>
            </w:r>
          </w:p>
        </w:tc>
        <w:tc>
          <w:tcPr>
            <w:tcW w:type="dxa" w:w="366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Qualification</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Cerulean Data Solutions</w:t>
            </w:r>
          </w:p>
        </w:tc>
        <w:tc>
          <w:tcPr>
            <w:tcW w:type="dxa" w:w="21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$2,213,000</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$331,950</w:t>
            </w:r>
          </w:p>
        </w:tc>
        <w:tc>
          <w:tcPr>
            <w:tcW w:type="dxa" w:w="36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Includes $112,000 off-ledger payments; only ~40 pages of suspect deliverables.</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Pinnacle Edge</w:t>
            </w:r>
          </w:p>
        </w:tc>
        <w:tc>
          <w:tcPr>
            <w:tcW w:type="dxa" w:w="21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$1,310,000</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$187,500</w:t>
            </w:r>
          </w:p>
        </w:tc>
        <w:tc>
          <w:tcPr>
            <w:tcW w:type="dxa" w:w="36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$810K retainers + $500K success fees; fixed offshore transfers.</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PT Nusantara</w:t>
            </w:r>
          </w:p>
        </w:tc>
        <w:tc>
          <w:tcPr>
            <w:tcW w:type="dxa" w:w="21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$1,110,000</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To be traced</w:t>
            </w:r>
          </w:p>
        </w:tc>
        <w:tc>
          <w:tcPr>
            <w:tcW w:type="dxa" w:w="36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$150K facilitation-coded wire + $960K success fee.</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Albion Strategic Partners</w:t>
            </w:r>
          </w:p>
        </w:tc>
        <w:tc>
          <w:tcPr>
            <w:tcW w:type="dxa" w:w="21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£350,000 contract</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Unknown</w:t>
            </w:r>
          </w:p>
        </w:tc>
        <w:tc>
          <w:tcPr>
            <w:tcW w:type="dxa" w:w="36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£175K confirmed paid; £175K status unresolved.</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Subtotal, U.S. dollar payments</w:t>
            </w:r>
          </w:p>
        </w:tc>
        <w:tc>
          <w:tcPr>
            <w:tcW w:type="dxa" w:w="21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$4,633,000</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$519,450 identified</w:t>
            </w:r>
          </w:p>
        </w:tc>
        <w:tc>
          <w:tcPr>
            <w:tcW w:type="dxa" w:w="36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Does not double-count kickbacks as additional company outflow.</w:t>
            </w:r>
          </w:p>
        </w:tc>
      </w:tr>
      <w:tr>
        <w:trPr>
          <w:trHeight w:hRule="atLeast"/>
        </w:trPr>
        <w:tc>
          <w:tcPr>
            <w:tcW w:type="dxa" w:w="19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Converted gross component total</w:t>
            </w:r>
          </w:p>
        </w:tc>
        <w:tc>
          <w:tcPr>
            <w:tcW w:type="dxa" w:w="21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~$5,063,000</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right"/>
            </w:pPr>
            <w:r>
              <w:rPr>
                <w:rFonts w:ascii="Calibri" w:hAnsi="Calibri"/>
                <w:sz w:val="18"/>
              </w:rPr>
              <w:t>N/A</w:t>
            </w:r>
          </w:p>
        </w:tc>
        <w:tc>
          <w:tcPr>
            <w:tcW w:type="dxa" w:w="36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8"/>
              </w:rPr>
              <w:t>Uses Graystone's approximate $430K value for £350K; source narrative understates the component sum.</w:t>
            </w:r>
          </w:p>
        </w:tc>
      </w:tr>
    </w:tbl>
    <w:p>
      <w:pPr>
        <w:spacing w:after="40"/>
      </w:pPr>
    </w:p>
    <w:p>
      <w:pPr>
        <w:spacing w:before="0" w:after="120" w:line="264" w:lineRule="auto"/>
      </w:pPr>
      <w:r>
        <w:rPr>
          <w:rFonts w:ascii="Calibri" w:hAnsi="Calibri"/>
        </w:rPr>
        <w:t>The estimated $519,450 in kickback income ($331,950 + $187,500) likely constitutes unreported income. The evidence warrants analysis under 26 U.S.C. §7201 and related filing provisions. If Ridley had a financial interest in or signature or other authority over Ridgeview's Cayman account, potential FBAR obligations under FinCEN Form 114 must also be assessed.</w:t>
      </w:r>
    </w:p>
    <w:p>
      <w:pPr>
        <w:pStyle w:val="Heading1"/>
      </w:pPr>
      <w:r>
        <w:t>5. Recommended Next Steps</w:t>
      </w:r>
    </w:p>
    <w:tbl>
      <w:tblPr>
        <w:tblW w:type="dxa" w:w="9360"/>
        <w:tblLayout w:type="fixed"/>
        <w:tblLook w:firstColumn="1" w:firstRow="1" w:lastColumn="0" w:lastRow="0" w:noHBand="0" w:noVBand="1" w:val="04A0"/>
        <w:tblInd w:w="120" w:type="dxa"/>
      </w:tblPr>
      <w:tblGrid>
        <w:gridCol w:w="420"/>
        <w:gridCol w:w="1500"/>
        <w:gridCol w:w="4670"/>
        <w:gridCol w:w="1700"/>
        <w:gridCol w:w="1070"/>
      </w:tblGrid>
      <w:tr>
        <w:trPr>
          <w:trHeight w:hRule="atLeast"/>
          <w:tblHeader w:val="true"/>
        </w:trPr>
        <w:tc>
          <w:tcPr>
            <w:tcW w:type="dxa" w:w="42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w:t>
            </w:r>
          </w:p>
        </w:tc>
        <w:tc>
          <w:tcPr>
            <w:tcW w:type="dxa" w:w="15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Action</w:t>
            </w:r>
          </w:p>
        </w:tc>
        <w:tc>
          <w:tcPr>
            <w:tcW w:type="dxa" w:w="467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Required Work</w:t>
            </w:r>
          </w:p>
        </w:tc>
        <w:tc>
          <w:tcPr>
            <w:tcW w:type="dxa" w:w="17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Owner</w:t>
            </w:r>
          </w:p>
        </w:tc>
        <w:tc>
          <w:tcPr>
            <w:tcW w:type="dxa" w:w="107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Timing</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1</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Preserve and secure evidence</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Issue or refresh legal holds for Ridley, Yung, Marsden, AP, Finance, Legal, Business Development, IT, Karen Ridley, and relevant JV records; preserve phones, messaging, backups, brokerage, and approval logs.</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Outside counsel / IT</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Immediate</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2</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Suspend residual payment and access risk</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Block further payments to Cerulean, Pinnacle Edge, PT Nusantara, and Albion; revoke Ridley-linked access; notify banks not to alter responsive records.</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Audit Committee / CFO</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Immediate</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3</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Complete fund tracing</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Subpoena or obtain complete Lone Star, Austin Capital Trust, First National Business Bank, Caribbean Commerce Bank, BCA, Ridgeline, Albion, and JV account records; identify Ridgeview beneficial ownership.</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Forensic accounting / counsel</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0-30 days</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4</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Conduct sequenced interviews</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Interview Yung, Marsden, AP personnel, Yun-Chao, Okonkwo, Hargrove, Hartono, Prasetyo where feasible, Farnsworth, Karen Ridley, and then Ridley with counsel present if he agrees.</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Outside counsel</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After records lock</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5</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Investigate securities evidence</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Preserve announcement timeline, award communications, insider lists, preclearance records, 10b5-1 materials, and Ridley devices; determine MNPI knowledge and any related-party trading.</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Securities counsel</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0-30 days</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6</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Make regulator-disclosure decision</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Prepare a privileged DOJ/SEC voluntary self-disclosure analysis covering FCPA and securities issues. Evaluate prompt disclosure to preserve cooperation credit and reduce the risk that delay increases penalties or limits credit.</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Audit Committee / specialist counsel</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Promptly after core fact lock</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7</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Assess tax / FBAR and foreign reporting</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Determine whether kickback income was reported; evaluate FBAR obligations and UK reporting or Serious Fraud Office issues; coordinate jurisdictions before outreach.</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Tax / UK / investigations counsel</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30-60 days</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8</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Remediate controls</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Implement automated aggregate-spend alerts, non-self approval, vendor-beneficial-owner checks, conflict verification, deliverable certification, bank-to-ledger reconciliation, foreign-agent GC gating, and annual performance reviews.</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CFO / GC / Internal Audit</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30-90 days</w:t>
            </w:r>
          </w:p>
        </w:tc>
      </w:tr>
      <w:tr>
        <w:trPr>
          <w:trHeight w:hRule="atLeast"/>
        </w:trPr>
        <w:tc>
          <w:tcPr>
            <w:tcW w:type="dxa" w:w="42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9</w:t>
            </w:r>
          </w:p>
        </w:tc>
        <w:tc>
          <w:tcPr>
            <w:tcW w:type="dxa" w:w="15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Recovery and disclosure accounting</w:t>
            </w:r>
          </w:p>
        </w:tc>
        <w:tc>
          <w:tcPr>
            <w:tcW w:type="dxa" w:w="46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Assess clawback, restitution, rescission, insurance notice, financial-statement impact, contingent liabilities, and potential claims against vendors and individuals.</w:t>
            </w:r>
          </w:p>
        </w:tc>
        <w:tc>
          <w:tcPr>
            <w:tcW w:type="dxa" w:w="17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Audit Committee / Finance / counsel</w:t>
            </w:r>
          </w:p>
        </w:tc>
        <w:tc>
          <w:tcPr>
            <w:tcW w:type="dxa" w:w="107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center"/>
            </w:pPr>
            <w:r>
              <w:rPr>
                <w:rFonts w:ascii="Calibri" w:hAnsi="Calibri"/>
                <w:sz w:val="17"/>
              </w:rPr>
              <w:t>Parallel</w:t>
            </w:r>
          </w:p>
        </w:tc>
      </w:tr>
    </w:tbl>
    <w:p>
      <w:pPr>
        <w:spacing w:after="40"/>
      </w:pPr>
    </w:p>
    <w:p>
      <w:pPr>
        <w:pStyle w:val="Heading1"/>
      </w:pPr>
      <w:r>
        <w:t>6. Source Index and Evidentiary Chains</w:t>
      </w:r>
    </w:p>
    <w:tbl>
      <w:tblPr>
        <w:tblW w:type="dxa" w:w="9360"/>
        <w:tblLayout w:type="fixed"/>
        <w:tblLook w:firstColumn="1" w:firstRow="1" w:lastColumn="0" w:lastRow="0" w:noHBand="0" w:noVBand="1" w:val="04A0"/>
        <w:tblInd w:w="120" w:type="dxa"/>
      </w:tblPr>
      <w:tblGrid>
        <w:gridCol w:w="2600"/>
        <w:gridCol w:w="2800"/>
        <w:gridCol w:w="3960"/>
      </w:tblGrid>
      <w:tr>
        <w:trPr>
          <w:trHeight w:hRule="atLeast"/>
          <w:tblHeader w:val="true"/>
        </w:trPr>
        <w:tc>
          <w:tcPr>
            <w:tcW w:type="dxa" w:w="26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Source</w:t>
            </w:r>
          </w:p>
        </w:tc>
        <w:tc>
          <w:tcPr>
            <w:tcW w:type="dxa" w:w="280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Record Function</w:t>
            </w:r>
          </w:p>
        </w:tc>
        <w:tc>
          <w:tcPr>
            <w:tcW w:type="dxa" w:w="3960"/>
            <w:shd w:fill="F2F4F7"/>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pPr>
            <w:r>
              <w:rPr>
                <w:rFonts w:ascii="Calibri" w:hAnsi="Calibri"/>
                <w:b/>
                <w:color w:val="0B2545"/>
                <w:sz w:val="18"/>
              </w:rPr>
              <w:t>Cross-Document Use</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cerulean-transaction-records.xlsx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12-entry AP ledger, 14 bank payments, 14 proportional transfers</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Cerulean payment → 15% transfer → Ridley account; ghost-invoice reconciliation.</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pinnacle-edge-transaction-records.xlsx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21 invoices and three offshore transfers</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DataPulse success fee → fixed $62.5K transfer → Ridgeview account.</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ridley-email-chain.eml</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PT Nusantara and Pinnacle Edge threads</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Facilitation request → misleading coding → matching wire; Finance inquiry → Ridley deflection.</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pt-nusantara-records.docx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Diligence questionnaire, engagement, $150K wire, $960K invoice</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False diligence response + government nexus + off-agreement payment.</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graystone-background-report.docx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Corporate, personal, property, banking, and relationship findings</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Connects Yun-Chao, Okonkwo, Hargrove/Ridgeview, Hartono/Prasetyo, and Farnsworth/Albion.</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datapulse-compliance-policies.docx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Vendor and FCPA control requirements</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Maps approvals, disclosure, performance review, GC sign-off, books/records, and internal controls to observed bypasses.</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ridley-brokerage-statements.xlsx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January 9 DPLS trade and January 13 market value</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Trade timing, cost, announcement-linked price move, and unrealized gain.</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jv-agreement-and-albion-records.docx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JV reserved matters, Albion contract, Companies House extract</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£350K approval breach + Farnsworth ownership + 38-day formation timeline.</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ridley-expense-reports.xlsx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FY2022-FY2023 expenses and source annotations</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Seven non-CRM names, personal-contact matches, and $14.2K birthday event.</w:t>
            </w:r>
          </w:p>
        </w:tc>
      </w:tr>
      <w:tr>
        <w:trPr>
          <w:trHeight w:hRule="atLeast"/>
        </w:trPr>
        <w:tc>
          <w:tcPr>
            <w:tcW w:type="dxa" w:w="26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whistleblower-and-engagement.docx</w:t>
            </w:r>
          </w:p>
        </w:tc>
        <w:tc>
          <w:tcPr>
            <w:tcW w:type="dxa" w:w="280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Complaint, scope, authority, and preservation directive</w:t>
            </w:r>
          </w:p>
        </w:tc>
        <w:tc>
          <w:tcPr>
            <w:tcW w:type="dxa" w:w="3960"/>
            <w:tcMar>
              <w:top w:w="80" w:type="dxa"/>
              <w:start w:w="120" w:type="dxa"/>
              <w:bottom w:w="80" w:type="dxa"/>
              <w:end w:w="120" w:type="dxa"/>
            </w:tcMar>
            <w:tcBorders>
              <w:top w:val="single" w:sz="4" w:space="0" w:color="C9D1D9"/>
              <w:left w:val="single" w:sz="4" w:space="0" w:color="C9D1D9"/>
              <w:bottom w:val="single" w:sz="4" w:space="0" w:color="C9D1D9"/>
              <w:right w:val="single" w:sz="4" w:space="0" w:color="C9D1D9"/>
              <w:insideH w:val="single" w:sz="4" w:space="0" w:color="C9D1D9"/>
              <w:insideV w:val="single" w:sz="4" w:space="0" w:color="C9D1D9"/>
            </w:tcBorders>
            <w:vAlign w:val="center"/>
          </w:tcPr>
          <w:p>
            <w:pPr>
              <w:spacing w:after="0" w:line="240" w:lineRule="auto"/>
              <w:jc w:val="left"/>
            </w:pPr>
            <w:r>
              <w:rPr>
                <w:rFonts w:ascii="Calibri" w:hAnsi="Calibri"/>
                <w:sz w:val="17"/>
              </w:rPr>
              <w:t>Establishes investigation origin, privilege framework, and authorized workstreams.</w:t>
            </w:r>
          </w:p>
        </w:tc>
      </w:tr>
    </w:tbl>
    <w:p>
      <w:pPr>
        <w:spacing w:after="40"/>
      </w:pPr>
    </w:p>
    <w:p>
      <w:pPr>
        <w:pStyle w:val="Heading1"/>
      </w:pPr>
      <w:r>
        <w:t>7. Preliminary Conclusion</w:t>
      </w:r>
    </w:p>
    <w:p>
      <w:pPr>
        <w:spacing w:before="0" w:after="120" w:line="264" w:lineRule="auto"/>
      </w:pPr>
      <w:r>
        <w:rPr>
          <w:rFonts w:ascii="Calibri" w:hAnsi="Calibri"/>
        </w:rPr>
        <w:t>The present record supports Critical findings for the Cerulean and Pinnacle Edge kickback schemes and the PT Nusantara/FCPA matter, and a High finding for the DPLS trade, Albion self-dealing, and expense fraud. The exact proportional transfers, repeated sole approvals, undisclosed personal relationships, misleading accounting entries, unsupported deliverables, and contemporaneous emails collectively support an inference of intentional conduct. The Audit Committee should preserve the record, complete fund tracing and witness work, remediate controls, and make a prompt, privileged decision regarding voluntary disclosure to the DOJ and SEC.</w:t>
      </w:r>
    </w:p>
    <w:p>
      <w:pPr>
        <w:spacing w:before="0" w:after="120" w:line="264" w:lineRule="auto"/>
      </w:pPr>
      <w:r>
        <w:rPr>
          <w:rFonts w:ascii="Calibri" w:hAnsi="Calibri"/>
          <w:b/>
        </w:rPr>
        <w:t>This memorandum is preliminary and privileged.</w:t>
      </w:r>
      <w:r>
        <w:rPr>
          <w:rFonts w:ascii="Calibri" w:hAnsi="Calibri"/>
        </w:rPr>
        <w:t xml:space="preserve"> It should not be distributed outside the Audit Committee, outside counsel, and persons authorized by the Committee without advice of counsel.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Whitfield &amp; Crane LLP  |  Attorney Work Product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RIDLEY INTERNAL INVESTIGATION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Issue Memorandum - Marcus J. Ridley</dc:title>
  <dc:subject>Preliminary findings, financial exposure, controls failures, and recommended next steps</dc:subject>
  <dc:creator>Whitfield &amp; Crane LLP</dc:creator>
  <cp:keywords>privileged, internal investigation, FCPA, kickback, insider trading, internal controls</cp:keywords>
  <dc:description>generated by python-docx</dc:description>
  <cp:lastModifiedBy/>
  <cp:revision>1</cp:revision>
  <dcterms:created xsi:type="dcterms:W3CDTF">2013-12-23T23:15:00Z</dcterms:created>
  <dcterms:modified xsi:type="dcterms:W3CDTF">2013-12-23T23:15:00Z</dcterms:modified>
  <cp:category/>
</cp:coreProperties>
</file>